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Adenda contratual — Fornecedores de serviços TIC geridos</w:t>
      </w:r>
    </w:p>
    <w:p>
      <w:pPr>
        <w:spacing w:after="1200"/>
        <w:jc w:val="center"/>
      </w:pPr>
      <w:r>
        <w:rPr>
          <w:color w:val="374151"/>
          <w:sz w:val="22"/>
          <w:szCs w:val="22"/>
          <w:rFonts w:ascii="Calibri" w:cs="Calibri" w:eastAsia="Calibri" w:hAnsi="Calibri"/>
        </w:rPr>
        <w:t xml:space="preserve">Anexo de conformidade e SLA de notificação — Art. 28.º do DL 125/2025 e Anexo III (GR.CA-5 a GR.CA-8) do Regulamento 756/2026</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15/09/2026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Esta adenda destina-se a ser anexada a um contrato de prestação de serviços TIC geridos (ou de serviços de segurança geridos) já celebrado com um fornecedor, acrescentando-lhe cláusulas de conformidade com a segurança da cadeia de abastecimento exigida pelo DL 125/2025 e um anexo de níveis de serviço (SLA) com indicadores mensuráveis. Não substitui o contrato principal — completa-o.</w:t>
      </w:r>
    </w:p>
    <w:p>
      <w:pPr>
        <w:pStyle w:val="ListParagraph"/>
        <w:numPr>
          <w:ilvl w:val="0"/>
          <w:numId w:val="1"/>
        </w:numPr>
        <w:spacing w:after="80"/>
      </w:pPr>
      <w:r>
        <w:rPr>
          <w:color w:val="374151"/>
          <w:sz w:val="22"/>
          <w:szCs w:val="22"/>
          <w:rFonts w:ascii="Calibri" w:cs="Calibri" w:eastAsia="Calibri" w:hAnsi="Calibri"/>
        </w:rPr>
        <w:t xml:space="preserve">Preencher a identificação do contrato principal e das partes na Secção 1.</w:t>
      </w:r>
    </w:p>
    <w:p>
      <w:pPr>
        <w:pStyle w:val="ListParagraph"/>
        <w:numPr>
          <w:ilvl w:val="0"/>
          <w:numId w:val="1"/>
        </w:numPr>
        <w:spacing w:after="80"/>
      </w:pPr>
      <w:r>
        <w:rPr>
          <w:color w:val="374151"/>
          <w:sz w:val="22"/>
          <w:szCs w:val="22"/>
          <w:rFonts w:ascii="Calibri" w:cs="Calibri" w:eastAsia="Calibri" w:hAnsi="Calibri"/>
        </w:rPr>
        <w:t xml:space="preserve">Adaptar os prazos contratuais de notificação em cascata (Secção 3) à realidade operacional do fornecedor e da entidade — a lei não fixa esses prazos, apenas o prazo legal da entidade perante o CNCS.</w:t>
      </w:r>
    </w:p>
    <w:p>
      <w:pPr>
        <w:pStyle w:val="ListParagraph"/>
        <w:numPr>
          <w:ilvl w:val="0"/>
          <w:numId w:val="1"/>
        </w:numPr>
        <w:spacing w:after="80"/>
      </w:pPr>
      <w:r>
        <w:rPr>
          <w:color w:val="374151"/>
          <w:sz w:val="22"/>
          <w:szCs w:val="22"/>
          <w:rFonts w:ascii="Calibri" w:cs="Calibri" w:eastAsia="Calibri" w:hAnsi="Calibri"/>
        </w:rPr>
        <w:t xml:space="preserve">Preencher as metas do anexo de SLA (Secção 9) com valores negociados entre as partes.</w:t>
      </w:r>
    </w:p>
    <w:p>
      <w:pPr>
        <w:pStyle w:val="ListParagraph"/>
        <w:numPr>
          <w:ilvl w:val="0"/>
          <w:numId w:val="1"/>
        </w:numPr>
        <w:spacing w:after="80"/>
      </w:pPr>
      <w:r>
        <w:rPr>
          <w:color w:val="374151"/>
          <w:sz w:val="22"/>
          <w:szCs w:val="22"/>
          <w:rFonts w:ascii="Calibri" w:cs="Calibri" w:eastAsia="Calibri" w:hAnsi="Calibri"/>
        </w:rPr>
        <w:t xml:space="preserve">Se o fornecedor for, ele próprio, uma entidade abrangida pelo Regulamento de Execução (UE) 2024/2690 (prestador de serviços geridos ou de segurança geridos), rever também os limiares desse regulamento na Secção 4.</w:t>
      </w:r>
    </w:p>
    <w:p>
      <w:pPr>
        <w:pStyle w:val="ListParagraph"/>
        <w:numPr>
          <w:ilvl w:val="0"/>
          <w:numId w:val="1"/>
        </w:numPr>
        <w:spacing w:after="80"/>
      </w:pPr>
      <w:r>
        <w:rPr>
          <w:color w:val="374151"/>
          <w:sz w:val="22"/>
          <w:szCs w:val="22"/>
          <w:rFonts w:ascii="Calibri" w:cs="Calibri" w:eastAsia="Calibri" w:hAnsi="Calibri"/>
        </w:rPr>
        <w:t xml:space="preserve">Este documento é distinto do template "Cláusulas de Segurança para Contratos com Fornecedores" (conjunto completo de cláusulas de segurança para um novo contrato) — usar este quando já existe um contrato de serviços TIC geridos e se pretende acrescentar apenas as cláusulas de conformidade com a cadeia de abastecimento e o anexo de SLA de notificação.</w:t>
      </w:r>
    </w:p>
    <w:p>
      <w:pPr>
        <w:pStyle w:val="Heading1"/>
        <w:spacing w:before="400" w:after="200"/>
      </w:pPr>
      <w:r>
        <w:rPr>
          <w:b/>
          <w:bCs/>
          <w:color w:val="1e3a8a"/>
          <w:sz w:val="32"/>
          <w:szCs w:val="32"/>
          <w:rFonts w:ascii="Calibri" w:cs="Calibri" w:eastAsia="Calibri" w:hAnsi="Calibri"/>
        </w:rPr>
        <w:t xml:space="preserve">Enquadramento legal</w:t>
      </w:r>
    </w:p>
    <w:p>
      <w:pPr>
        <w:shd w:color="dbeafe" w:val="solid"/>
        <w:spacing w:before="160" w:after="160"/>
        <w:ind w:left="360" w:right="360"/>
      </w:pPr>
      <w:r>
        <w:rPr>
          <w:i/>
          <w:iCs/>
          <w:color w:val="1e3a8a"/>
          <w:sz w:val="22"/>
          <w:szCs w:val="22"/>
          <w:rFonts w:ascii="Calibri" w:cs="Calibri" w:eastAsia="Calibri" w:hAnsi="Calibri"/>
        </w:rPr>
        <w:t xml:space="preserve">Art. 28.º do DL 125/2025 — "As medidas de cibersegurança relativas à segurança da cadeia de abastecimento, incluindo aspetos de segurança respeitantes às relações entre cada entidade e os respetivos fornecedores ou prestadores de serviços diretos, devem considerar, designadamente: a) As vulnerabilidades específicas de cada fornecedor direto e cada prestador de serviços; b) A qualidade global dos produtos na componente de cibersegurança; c) As práticas de cibersegurança dos seus fornecedores e prestadores de serviços, incluindo os respetivos procedimentos de desenvolvimento seguro; d) As avaliações coordenadas dos riscos de segurança de cadeias de abastecimento de produtos de TIC, sistemas de TIC ou serviços de TIC críticos que sejam realizadas nos termos do artigo 22.º da Diretiva (UE) 2022/2555 [...]; e) As decisões relativas à aplicação de restrições à utilização, a cessação de utilização ou exclusão de equipamentos, componentes ou serviços de tecnologias de informação e comunicação, ao abrigo do disposto no n.º 3 do artigo 18.º"</w:t>
      </w:r>
    </w:p>
    <w:p>
      <w:pPr>
        <w:shd w:color="dbeafe" w:val="solid"/>
        <w:spacing w:before="160" w:after="160"/>
        <w:ind w:left="360" w:right="360"/>
      </w:pPr>
      <w:r>
        <w:rPr>
          <w:i/>
          <w:iCs/>
          <w:color w:val="1e3a8a"/>
          <w:sz w:val="22"/>
          <w:szCs w:val="22"/>
          <w:rFonts w:ascii="Calibri" w:cs="Calibri" w:eastAsia="Calibri" w:hAnsi="Calibri"/>
        </w:rPr>
        <w:t xml:space="preserve">Diretiva (UE) 2022/2555, Art. 21.º n.º 2 alínea d) — as medidas de gestão de risco abrangem, entre outros aspetos, a "segurança da cadeia de abastecimento, incluindo aspetos de segurança respeitantes às relações entre cada entidade e os respetivos fornecedores ou prestadores de serviços diretos".</w:t>
      </w:r>
    </w:p>
    <w:p>
      <w:pPr>
        <w:shd w:color="dbeafe" w:val="solid"/>
        <w:spacing w:before="160" w:after="160"/>
        <w:ind w:left="360" w:right="360"/>
      </w:pPr>
      <w:r>
        <w:rPr>
          <w:i/>
          <w:iCs/>
          <w:color w:val="1e3a8a"/>
          <w:sz w:val="22"/>
          <w:szCs w:val="22"/>
          <w:rFonts w:ascii="Calibri" w:cs="Calibri" w:eastAsia="Calibri" w:hAnsi="Calibri"/>
        </w:rPr>
        <w:t xml:space="preserve">Diretiva (UE) 2022/2555, Art. 21.º n.º 3 — "Os Estados-Membros devem garantir que, ao ponderarem as medidas adequadas a que se refere o n.º 2, alínea d), [...] as entidades têm em conta as vulnerabilidades específicas de cada fornecedor direto e cada prestador de serviços, bem como a qualidade global dos produtos e as práticas de cibersegurança dos seus fornecedores e prestadores de serviços, incluindo os respetivos procedimentos de desenvolvimento seguro. Os Estados-Membros asseguram igualmente que, ao avaliarem quais das medidas [...] são adequadas, as entidades são obrigadas a ter em conta os resultados das avaliações coordenadas dos riscos de segurança das cadeias de abastecimento críticas realizadas nos termos do artigo 22.º, n.º 1."</w:t>
      </w:r>
    </w:p>
    <w:p>
      <w:pPr>
        <w:spacing w:after="160"/>
      </w:pPr>
      <w:r>
        <w:rPr>
          <w:color w:val="374151"/>
          <w:sz w:val="22"/>
          <w:szCs w:val="22"/>
          <w:rFonts w:ascii="Calibri" w:cs="Calibri" w:eastAsia="Calibri" w:hAnsi="Calibri"/>
        </w:rPr>
        <w:t xml:space="preserve">O Regulamento 756/2026, Anexo III, concretiza esta obrigação em quatro controlos de "Gestão de Risco — Cadeia de Abastecimento" (GR.CA-5 a GR.CA-8), com critérios de verificação que sobem de exigência nos níveis Substancial e Elevado — reproduzidos na tabela seguinte. A existência de um modelo de contrato/adenda como este é, ela própria, evidência de conformidade exigível em auditoria (GR.CA-5, nível Substancial).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Controlo</w:t>
            </w:r>
          </w:p>
        </w:tc>
        <w:tc>
          <w:tcPr>
            <w:shd w:color="1e3a8a" w:val="solid"/>
            <w:vAlign w:val="center"/>
          </w:tcPr>
          <w:p>
            <w:r>
              <w:rPr>
                <w:b/>
                <w:bCs/>
                <w:color w:val="ffffff"/>
                <w:sz w:val="22"/>
                <w:szCs w:val="22"/>
                <w:rFonts w:ascii="Calibri" w:cs="Calibri" w:eastAsia="Calibri" w:hAnsi="Calibri"/>
              </w:rPr>
              <w:t xml:space="preserve">Nível Substancial — critério de verificação</w:t>
            </w:r>
          </w:p>
        </w:tc>
        <w:tc>
          <w:tcPr>
            <w:shd w:color="1e3a8a" w:val="solid"/>
            <w:vAlign w:val="center"/>
          </w:tcPr>
          <w:p>
            <w:r>
              <w:rPr>
                <w:b/>
                <w:bCs/>
                <w:color w:val="ffffff"/>
                <w:sz w:val="22"/>
                <w:szCs w:val="22"/>
                <w:rFonts w:ascii="Calibri" w:cs="Calibri" w:eastAsia="Calibri" w:hAnsi="Calibri"/>
              </w:rPr>
              <w:t xml:space="preserve">Nível Elevado — critério de verificação</w:t>
            </w:r>
          </w:p>
        </w:tc>
      </w:tr>
      <w:tr>
        <w:tc>
          <w:tcPr>
            <w:shd w:color="f3f4f6" w:val="solid"/>
            <w:vAlign w:val="center"/>
          </w:tcPr>
          <w:p>
            <w:r>
              <w:rPr>
                <w:b w:val="false"/>
                <w:bCs w:val="false"/>
                <w:color w:val="374151"/>
                <w:sz w:val="22"/>
                <w:szCs w:val="22"/>
                <w:rFonts w:ascii="Calibri" w:cs="Calibri" w:eastAsia="Calibri" w:hAnsi="Calibri"/>
              </w:rPr>
              <w:t xml:space="preserve">GR.CA-5 — A entidade define e integra nos contratos e outros acordos com fornecedores os requisitos para gerir os riscos de cibersegurança da cadeia de abastecimento.</w:t>
            </w:r>
          </w:p>
        </w:tc>
        <w:tc>
          <w:tcPr>
            <w:vAlign w:val="center"/>
          </w:tcPr>
          <w:p>
            <w:r>
              <w:rPr>
                <w:b w:val="false"/>
                <w:bCs w:val="false"/>
                <w:color w:val="374151"/>
                <w:sz w:val="22"/>
                <w:szCs w:val="22"/>
                <w:rFonts w:ascii="Calibri" w:cs="Calibri" w:eastAsia="Calibri" w:hAnsi="Calibri"/>
              </w:rPr>
              <w:t xml:space="preserve">Modelos de contratos/acordos contendo cláusulas específicas de requisitos de cibersegurança.</w:t>
            </w:r>
          </w:p>
        </w:tc>
        <w:tc>
          <w:tcPr>
            <w:vAlign w:val="center"/>
          </w:tcPr>
          <w:p>
            <w:r>
              <w:rPr>
                <w:b w:val="false"/>
                <w:bCs w:val="false"/>
                <w:color w:val="374151"/>
                <w:sz w:val="22"/>
                <w:szCs w:val="22"/>
                <w:rFonts w:ascii="Calibri" w:cs="Calibri" w:eastAsia="Calibri" w:hAnsi="Calibri"/>
              </w:rPr>
              <w:t xml:space="preserve">Modelos de contratos/acordos contendo cláusulas específicas que permitam a avaliação contínua da cibersegurança dos fornecedores e a correção de eventuais falhas identificadas.</w:t>
            </w:r>
          </w:p>
        </w:tc>
      </w:tr>
      <w:tr>
        <w:tc>
          <w:tcPr>
            <w:shd w:color="f3f4f6" w:val="solid"/>
            <w:vAlign w:val="center"/>
          </w:tcPr>
          <w:p>
            <w:r>
              <w:rPr>
                <w:b w:val="false"/>
                <w:bCs w:val="false"/>
                <w:color w:val="374151"/>
                <w:sz w:val="22"/>
                <w:szCs w:val="22"/>
                <w:rFonts w:ascii="Calibri" w:cs="Calibri" w:eastAsia="Calibri" w:hAnsi="Calibri"/>
              </w:rPr>
              <w:t xml:space="preserve">GR.CA-6 — Antes da contratação de fornecedores são realizados processos de devida diligência para reduzir os riscos.</w:t>
            </w:r>
          </w:p>
        </w:tc>
        <w:tc>
          <w:tcPr>
            <w:vAlign w:val="center"/>
          </w:tcPr>
          <w:p>
            <w:r>
              <w:rPr>
                <w:b w:val="false"/>
                <w:bCs w:val="false"/>
                <w:color w:val="374151"/>
                <w:sz w:val="22"/>
                <w:szCs w:val="22"/>
                <w:rFonts w:ascii="Calibri" w:cs="Calibri" w:eastAsia="Calibri" w:hAnsi="Calibri"/>
              </w:rPr>
              <w:t xml:space="preserve">[Não exigido a este nível]</w:t>
            </w:r>
          </w:p>
        </w:tc>
        <w:tc>
          <w:tcPr>
            <w:vAlign w:val="center"/>
          </w:tcPr>
          <w:p>
            <w:r>
              <w:rPr>
                <w:b w:val="false"/>
                <w:bCs w:val="false"/>
                <w:color w:val="374151"/>
                <w:sz w:val="22"/>
                <w:szCs w:val="22"/>
                <w:rFonts w:ascii="Calibri" w:cs="Calibri" w:eastAsia="Calibri" w:hAnsi="Calibri"/>
              </w:rPr>
              <w:t xml:space="preserve">Registo dos processos de devida diligência realizados antes da contratação.</w:t>
            </w:r>
          </w:p>
        </w:tc>
      </w:tr>
      <w:tr>
        <w:tc>
          <w:tcPr>
            <w:shd w:color="f3f4f6" w:val="solid"/>
            <w:vAlign w:val="center"/>
          </w:tcPr>
          <w:p>
            <w:r>
              <w:rPr>
                <w:b w:val="false"/>
                <w:bCs w:val="false"/>
                <w:color w:val="374151"/>
                <w:sz w:val="22"/>
                <w:szCs w:val="22"/>
                <w:rFonts w:ascii="Calibri" w:cs="Calibri" w:eastAsia="Calibri" w:hAnsi="Calibri"/>
              </w:rPr>
              <w:t xml:space="preserve">GR.CA-7 — A entidade avalia os riscos de cibersegurança da cadeia de abastecimento.</w:t>
            </w:r>
          </w:p>
        </w:tc>
        <w:tc>
          <w:tcPr>
            <w:vAlign w:val="center"/>
          </w:tcPr>
          <w:p>
            <w:r>
              <w:rPr>
                <w:b w:val="false"/>
                <w:bCs w:val="false"/>
                <w:color w:val="374151"/>
                <w:sz w:val="22"/>
                <w:szCs w:val="22"/>
                <w:rFonts w:ascii="Calibri" w:cs="Calibri" w:eastAsia="Calibri" w:hAnsi="Calibri"/>
              </w:rPr>
              <w:t xml:space="preserve">Registo das medidas de mitigação aplicadas face aos riscos identificados durante o processo de avaliação do risco da cadeia de abastecimento.</w:t>
            </w:r>
          </w:p>
        </w:tc>
        <w:tc>
          <w:tcPr>
            <w:vAlign w:val="center"/>
          </w:tcPr>
          <w:p>
            <w:r>
              <w:rPr>
                <w:b w:val="false"/>
                <w:bCs w:val="false"/>
                <w:color w:val="374151"/>
                <w:sz w:val="22"/>
                <w:szCs w:val="22"/>
                <w:rFonts w:ascii="Calibri" w:cs="Calibri" w:eastAsia="Calibri" w:hAnsi="Calibri"/>
              </w:rPr>
              <w:t xml:space="preserve">Registo da avaliação de cibersegurança dos fornecedores em conformidade com o nível de exigência requerido, nomeadamente: Certificados válidos no âmbito do Selo de Maturidade Digital; Relatórios de auditorias realizadas; Resultados de testes realizados no âmbito da cibersegurança.</w:t>
            </w:r>
          </w:p>
        </w:tc>
      </w:tr>
      <w:tr>
        <w:tc>
          <w:tcPr>
            <w:shd w:color="f3f4f6" w:val="solid"/>
            <w:vAlign w:val="center"/>
          </w:tcPr>
          <w:p>
            <w:r>
              <w:rPr>
                <w:b w:val="false"/>
                <w:bCs w:val="false"/>
                <w:color w:val="374151"/>
                <w:sz w:val="22"/>
                <w:szCs w:val="22"/>
                <w:rFonts w:ascii="Calibri" w:cs="Calibri" w:eastAsia="Calibri" w:hAnsi="Calibri"/>
              </w:rPr>
              <w:t xml:space="preserve">GR.CA-8 — O Plano de Resposta a Incidentes e o Plano de Recuperação de Desastres são testados com o acompanhamento dos fornecedores.</w:t>
            </w:r>
          </w:p>
        </w:tc>
        <w:tc>
          <w:tcPr>
            <w:vAlign w:val="center"/>
          </w:tcPr>
          <w:p>
            <w:r>
              <w:rPr>
                <w:b w:val="false"/>
                <w:bCs w:val="false"/>
                <w:color w:val="374151"/>
                <w:sz w:val="22"/>
                <w:szCs w:val="22"/>
                <w:rFonts w:ascii="Calibri" w:cs="Calibri" w:eastAsia="Calibri" w:hAnsi="Calibri"/>
              </w:rPr>
              <w:t xml:space="preserve">Registo da inclusão do pessoal-chave dos fornecedores nas atividades previstas nos Plano de Resposta a Incidentes e no Plano de Recuperação de Desastres.</w:t>
            </w:r>
          </w:p>
        </w:tc>
        <w:tc>
          <w:tcPr>
            <w:vAlign w:val="center"/>
          </w:tcPr>
          <w:p>
            <w:r>
              <w:rPr>
                <w:b w:val="false"/>
                <w:bCs w:val="false"/>
                <w:color w:val="374151"/>
                <w:sz w:val="22"/>
                <w:szCs w:val="22"/>
                <w:rFonts w:ascii="Calibri" w:cs="Calibri" w:eastAsia="Calibri" w:hAnsi="Calibri"/>
              </w:rPr>
              <w:t xml:space="preserve">Registo de testes e exercícios ao Plano de Resposta a Incidentes e Plano de Recuperação de Desastres com a inclusão do pessoal-chave dos fornecedores.</w:t>
            </w:r>
          </w:p>
        </w:tc>
      </w:tr>
    </w:tbl>
    <w:p>
      <w:pPr>
        <w:spacing w:after="160"/>
      </w:pPr>
      <w:r>
        <w:rPr>
          <w:color w:val="374151"/>
          <w:sz w:val="22"/>
          <w:szCs w:val="22"/>
          <w:rFonts w:ascii="Calibri" w:cs="Calibri" w:eastAsia="Calibri" w:hAnsi="Calibri"/>
        </w:rPr>
        <w:t xml:space="preserve">Se o fornecedor for, ele próprio, um "prestador de serviços geridos" ou "prestador de serviços de segurança geridos" na aceção do Regulamento de Execução (UE) 2024/2690, aplicam-se-lhe diretamente os limiares desse regulamento (Art. 10.º): indisponibilidade completa superior a 30 minutos; disponibilidade limitada superior a 1 hora afetando mais de 5% dos utilizadores na UE ou mais de 1 milhão (o que for menor); compromisso de integridade/confidencialidade/autenticidade por ação presumivelmente maliciosa, sem limiar de escala, ou por qualquer causa afetando os mesmos limiares. Estes limiares aplicam-se ao fornecedor enquanto entidade pertinente desse regulamento — não se aplicam automaticamente ao cliente — mas são um referencial útil para esta adenda definir o que conta como "incidente relevante para notificação ao cliente" na Secção 3.</w:t>
      </w:r>
    </w:p>
    <w:p>
      <w:pPr>
        <w:spacing w:after="160"/>
      </w:pPr>
      <w:r>
        <w:rPr>
          <w:color w:val="374151"/>
          <w:sz w:val="22"/>
          <w:szCs w:val="22"/>
          <w:rFonts w:ascii="Calibri" w:cs="Calibri" w:eastAsia="Calibri" w:hAnsi="Calibri"/>
        </w:rPr>
        <w:t xml:space="preserve">Nota importante: o prazo contratual de notificação em cascata do fornecedor à entidade (Secção 3) é uma solução de engenharia contratual proposta por este template para que a entidade tenha margem de reagir dentro do prazo legal de 24 horas do Art. 42.º — a lei não fixa esse prazo contratual, que fica ao critério da negociação entre as partes.</w:t>
      </w:r>
    </w:p>
    <w:p>
      <w:r>
        <w:br w:type="page"/>
      </w:r>
    </w:p>
    <w:p>
      <w:pPr>
        <w:pStyle w:val="Heading1"/>
        <w:spacing w:before="400" w:after="200"/>
      </w:pPr>
      <w:r>
        <w:rPr>
          <w:b/>
          <w:bCs/>
          <w:color w:val="1e3a8a"/>
          <w:sz w:val="32"/>
          <w:szCs w:val="32"/>
          <w:rFonts w:ascii="Calibri" w:cs="Calibri" w:eastAsia="Calibri" w:hAnsi="Calibri"/>
        </w:rPr>
        <w:t xml:space="preserve">1. Objeto da adenda</w:t>
      </w:r>
    </w:p>
    <w:p>
      <w:pPr>
        <w:spacing w:after="160"/>
      </w:pPr>
      <w:r>
        <w:rPr>
          <w:color w:val="374151"/>
          <w:sz w:val="22"/>
          <w:szCs w:val="22"/>
          <w:rFonts w:ascii="Calibri" w:cs="Calibri" w:eastAsia="Calibri" w:hAnsi="Calibri"/>
        </w:rPr>
        <w:t xml:space="preserve">A presente adenda é celebrada entre a Entidade e o Fornecedor identificados abaixo, e tem por objeto acrescentar ao contrato principal identificado as cláusulas de conformidade com a segurança da cadeia de abastecimento previstas no Art. 28.º do DL 125/2025, bem como o anexo de níveis de serviço (SLA) de notificação constante da Secção 9.</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b w:val="false"/>
                <w:bCs w:val="false"/>
                <w:color w:val="374151"/>
                <w:sz w:val="22"/>
                <w:szCs w:val="22"/>
                <w:rFonts w:ascii="Calibri" w:cs="Calibri" w:eastAsia="Calibri" w:hAnsi="Calibri"/>
              </w:rPr>
              <w:t xml:space="preserve">Entidade (contratante)</w:t>
            </w:r>
          </w:p>
        </w:tc>
        <w:tc>
          <w:tcPr>
            <w:vAlign w:val="center"/>
          </w:tcPr>
          <w:p>
            <w:r>
              <w:rPr>
                <w:b w:val="false"/>
                <w:bCs w:val="false"/>
                <w:color w:val="374151"/>
                <w:sz w:val="22"/>
                <w:szCs w:val="22"/>
                <w:rFonts w:ascii="Calibri" w:cs="Calibri" w:eastAsia="Calibri" w:hAnsi="Calibri"/>
              </w:rPr>
              <w:t xml:space="preserve">[Nome da organização]</w:t>
            </w:r>
          </w:p>
        </w:tc>
      </w:tr>
      <w:tr>
        <w:tc>
          <w:tcPr>
            <w:shd w:color="f3f4f6" w:val="solid"/>
            <w:vAlign w:val="center"/>
          </w:tcPr>
          <w:p>
            <w:r>
              <w:rPr>
                <w:b w:val="false"/>
                <w:bCs w:val="false"/>
                <w:color w:val="374151"/>
                <w:sz w:val="22"/>
                <w:szCs w:val="22"/>
                <w:rFonts w:ascii="Calibri" w:cs="Calibri" w:eastAsia="Calibri" w:hAnsi="Calibri"/>
              </w:rPr>
              <w:t xml:space="preserve">Fornecedor (contratado)</w:t>
            </w:r>
          </w:p>
        </w:tc>
        <w:tc>
          <w:tcPr>
            <w:vAlign w:val="center"/>
          </w:tcPr>
          <w:p>
            <w:r>
              <w:rPr>
                <w:b w:val="false"/>
                <w:bCs w:val="false"/>
                <w:color w:val="374151"/>
                <w:sz w:val="22"/>
                <w:szCs w:val="22"/>
                <w:rFonts w:ascii="Calibri" w:cs="Calibri" w:eastAsia="Calibri" w:hAnsi="Calibri"/>
              </w:rPr>
              <w:t xml:space="preserve">[Nome do fornecedor]</w:t>
            </w:r>
          </w:p>
        </w:tc>
      </w:tr>
      <w:tr>
        <w:tc>
          <w:tcPr>
            <w:shd w:color="f3f4f6" w:val="solid"/>
            <w:vAlign w:val="center"/>
          </w:tcPr>
          <w:p>
            <w:r>
              <w:rPr>
                <w:b w:val="false"/>
                <w:bCs w:val="false"/>
                <w:color w:val="374151"/>
                <w:sz w:val="22"/>
                <w:szCs w:val="22"/>
                <w:rFonts w:ascii="Calibri" w:cs="Calibri" w:eastAsia="Calibri" w:hAnsi="Calibri"/>
              </w:rPr>
              <w:t xml:space="preserve">Contrato principal a que esta adenda se refere</w:t>
            </w:r>
          </w:p>
        </w:tc>
        <w:tc>
          <w:tcPr>
            <w:vAlign w:val="center"/>
          </w:tcPr>
          <w:p>
            <w:r>
              <w:rPr>
                <w:b w:val="false"/>
                <w:bCs w:val="false"/>
                <w:color w:val="374151"/>
                <w:sz w:val="22"/>
                <w:szCs w:val="22"/>
                <w:rFonts w:ascii="Calibri" w:cs="Calibri" w:eastAsia="Calibri" w:hAnsi="Calibri"/>
              </w:rPr>
              <w:t xml:space="preserve">[Identificação/referência do contrato, data de celebração]</w:t>
            </w:r>
          </w:p>
        </w:tc>
      </w:tr>
      <w:tr>
        <w:tc>
          <w:tcPr>
            <w:shd w:color="f3f4f6" w:val="solid"/>
            <w:vAlign w:val="center"/>
          </w:tcPr>
          <w:p>
            <w:r>
              <w:rPr>
                <w:b w:val="false"/>
                <w:bCs w:val="false"/>
                <w:color w:val="374151"/>
                <w:sz w:val="22"/>
                <w:szCs w:val="22"/>
                <w:rFonts w:ascii="Calibri" w:cs="Calibri" w:eastAsia="Calibri" w:hAnsi="Calibri"/>
              </w:rPr>
              <w:t xml:space="preserve">Objeto do contrato principal</w:t>
            </w:r>
          </w:p>
        </w:tc>
        <w:tc>
          <w:tcPr>
            <w:vAlign w:val="center"/>
          </w:tcPr>
          <w:p>
            <w:r>
              <w:rPr>
                <w:b w:val="false"/>
                <w:bCs w:val="false"/>
                <w:color w:val="374151"/>
                <w:sz w:val="22"/>
                <w:szCs w:val="22"/>
                <w:rFonts w:ascii="Calibri" w:cs="Calibri" w:eastAsia="Calibri" w:hAnsi="Calibri"/>
              </w:rPr>
              <w:t xml:space="preserve">[Descrição sumária do serviço TIC gerido prestado]</w:t>
            </w:r>
          </w:p>
        </w:tc>
      </w:tr>
      <w:tr>
        <w:tc>
          <w:tcPr>
            <w:shd w:color="f3f4f6" w:val="solid"/>
            <w:vAlign w:val="center"/>
          </w:tcPr>
          <w:p>
            <w:r>
              <w:rPr>
                <w:b w:val="false"/>
                <w:bCs w:val="false"/>
                <w:color w:val="374151"/>
                <w:sz w:val="22"/>
                <w:szCs w:val="22"/>
                <w:rFonts w:ascii="Calibri" w:cs="Calibri" w:eastAsia="Calibri" w:hAnsi="Calibri"/>
              </w:rPr>
              <w:t xml:space="preserve">Data de entrada em vigor desta adenda</w:t>
            </w:r>
          </w:p>
        </w:tc>
        <w:tc>
          <w:tcPr>
            <w:vAlign w:val="center"/>
          </w:tcPr>
          <w:p>
            <w:r>
              <w:rPr>
                <w:b w:val="false"/>
                <w:bCs w:val="false"/>
                <w:color w:val="374151"/>
                <w:sz w:val="22"/>
                <w:szCs w:val="22"/>
                <w:rFonts w:ascii="Calibri" w:cs="Calibri" w:eastAsia="Calibri" w:hAnsi="Calibri"/>
              </w:rPr>
              <w:t xml:space="preserve">[DD/MM/AAAA]</w:t>
            </w:r>
          </w:p>
        </w:tc>
      </w:tr>
      <w:tr>
        <w:tc>
          <w:tcPr>
            <w:shd w:color="f3f4f6" w:val="solid"/>
            <w:vAlign w:val="center"/>
          </w:tcPr>
          <w:p>
            <w:r>
              <w:rPr>
                <w:b w:val="false"/>
                <w:bCs w:val="false"/>
                <w:color w:val="374151"/>
                <w:sz w:val="22"/>
                <w:szCs w:val="22"/>
                <w:rFonts w:ascii="Calibri" w:cs="Calibri" w:eastAsia="Calibri" w:hAnsi="Calibri"/>
              </w:rPr>
              <w:t xml:space="preserve">O fornecedor é, ele próprio, prestador de serviços geridos/de segurança geridos na aceção do Reg. Exec. (UE) 2024/2690?</w:t>
            </w:r>
          </w:p>
        </w:tc>
        <w:tc>
          <w:tcPr>
            <w:vAlign w:val="center"/>
          </w:tcPr>
          <w:p>
            <w:r>
              <w:rPr>
                <w:b w:val="false"/>
                <w:bCs w:val="false"/>
                <w:color w:val="374151"/>
                <w:sz w:val="22"/>
                <w:szCs w:val="22"/>
                <w:rFonts w:ascii="Calibri" w:cs="Calibri" w:eastAsia="Calibri" w:hAnsi="Calibri"/>
              </w:rPr>
              <w:t xml:space="preserve">[Sim/Não]</w:t>
            </w:r>
          </w:p>
        </w:tc>
      </w:tr>
    </w:tbl>
    <w:p>
      <w:pPr>
        <w:pStyle w:val="Heading1"/>
        <w:spacing w:before="400" w:after="200"/>
      </w:pPr>
      <w:r>
        <w:rPr>
          <w:b/>
          <w:bCs/>
          <w:color w:val="1e3a8a"/>
          <w:sz w:val="32"/>
          <w:szCs w:val="32"/>
          <w:rFonts w:ascii="Calibri" w:cs="Calibri" w:eastAsia="Calibri" w:hAnsi="Calibri"/>
        </w:rPr>
        <w:t xml:space="preserve">2. Cláusula de conformidade do fornecedor com práticas de cibersegurança</w:t>
      </w:r>
    </w:p>
    <w:p>
      <w:pPr>
        <w:shd w:color="dbeafe" w:val="solid"/>
        <w:spacing w:before="160" w:after="160"/>
        <w:ind w:left="360" w:right="360"/>
      </w:pPr>
      <w:r>
        <w:rPr>
          <w:i/>
          <w:iCs/>
          <w:color w:val="1e3a8a"/>
          <w:sz w:val="22"/>
          <w:szCs w:val="22"/>
          <w:rFonts w:ascii="Calibri" w:cs="Calibri" w:eastAsia="Calibri" w:hAnsi="Calibri"/>
        </w:rPr>
        <w:t xml:space="preserve">Base legal: Art. 28.º alíneas a), b) e c) do DL 125/2025; GR.CA-5 do Anexo III do Regulamento 756/2026.</w:t>
      </w:r>
    </w:p>
    <w:p>
      <w:pPr>
        <w:spacing w:after="160"/>
      </w:pPr>
      <w:r>
        <w:rPr>
          <w:color w:val="374151"/>
          <w:sz w:val="22"/>
          <w:szCs w:val="22"/>
          <w:rFonts w:ascii="Calibri" w:cs="Calibri" w:eastAsia="Calibri" w:hAnsi="Calibri"/>
        </w:rPr>
        <w:t xml:space="preserve">[O Fornecedor compromete-se a manter práticas de cibersegurança adequadas ao risco do serviço prestado, incluindo procedimentos de desenvolvimento seguro, e a disponibilizar à Entidade, mediante pedido, evidência dessas práticas (certificações, relatórios de auditoria, resultados de testes de segurança), com vista a permitir à Entidade demonstrar, perante a autoridade de cibersegurança competente, o cumprimento do Art. 28.º do DL 125/2025.]</w:t>
      </w:r>
    </w:p>
    <w:p>
      <w:pPr>
        <w:pStyle w:val="Heading1"/>
        <w:spacing w:before="400" w:after="200"/>
      </w:pPr>
      <w:r>
        <w:rPr>
          <w:b/>
          <w:bCs/>
          <w:color w:val="1e3a8a"/>
          <w:sz w:val="32"/>
          <w:szCs w:val="32"/>
          <w:rFonts w:ascii="Calibri" w:cs="Calibri" w:eastAsia="Calibri" w:hAnsi="Calibri"/>
        </w:rPr>
        <w:t xml:space="preserve">3. Cláusula de notificação de incidentes pelo fornecedor à entidade</w:t>
      </w:r>
    </w:p>
    <w:p>
      <w:pPr>
        <w:shd w:color="dbeafe" w:val="solid"/>
        <w:spacing w:before="160" w:after="160"/>
        <w:ind w:left="360" w:right="360"/>
      </w:pPr>
      <w:r>
        <w:rPr>
          <w:i/>
          <w:iCs/>
          <w:color w:val="1e3a8a"/>
          <w:sz w:val="22"/>
          <w:szCs w:val="22"/>
          <w:rFonts w:ascii="Calibri" w:cs="Calibri" w:eastAsia="Calibri" w:hAnsi="Calibri"/>
        </w:rPr>
        <w:t xml:space="preserve">Base legal: prazos legais da entidade — Arts. 42.º, 43.º e 44.º do DL 125/2025; conteúdo mínimo espelhado no Art. 42.º n.º 2.</w:t>
      </w:r>
    </w:p>
    <w:p>
      <w:pPr>
        <w:spacing w:after="160"/>
      </w:pPr>
      <w:r>
        <w:rPr>
          <w:color w:val="374151"/>
          <w:sz w:val="22"/>
          <w:szCs w:val="22"/>
          <w:rFonts w:ascii="Calibri" w:cs="Calibri" w:eastAsia="Calibri" w:hAnsi="Calibri"/>
        </w:rPr>
        <w:t xml:space="preserve">O Fornecedor compromete-se a notificar a Entidade de qualquer incidente de cibersegurança que afete, ou possa afetar, o serviço prestado ao abrigo do contrato principal, dentro dos prazos contratuais definidos na tabela seguinte, de forma a permitir à Entidade cumprir os seus próprios prazos legais perante a autoridade de cibersegurança competente.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Fase</w:t>
            </w:r>
          </w:p>
        </w:tc>
        <w:tc>
          <w:tcPr>
            <w:shd w:color="1e3a8a" w:val="solid"/>
            <w:vAlign w:val="center"/>
          </w:tcPr>
          <w:p>
            <w:r>
              <w:rPr>
                <w:b/>
                <w:bCs/>
                <w:color w:val="ffffff"/>
                <w:sz w:val="22"/>
                <w:szCs w:val="22"/>
                <w:rFonts w:ascii="Calibri" w:cs="Calibri" w:eastAsia="Calibri" w:hAnsi="Calibri"/>
              </w:rPr>
              <w:t xml:space="preserve">Prazo legal da entidade perante o CNCS</w:t>
            </w:r>
          </w:p>
        </w:tc>
        <w:tc>
          <w:tcPr>
            <w:shd w:color="1e3a8a" w:val="solid"/>
            <w:vAlign w:val="center"/>
          </w:tcPr>
          <w:p>
            <w:r>
              <w:rPr>
                <w:b/>
                <w:bCs/>
                <w:color w:val="ffffff"/>
                <w:sz w:val="22"/>
                <w:szCs w:val="22"/>
                <w:rFonts w:ascii="Calibri" w:cs="Calibri" w:eastAsia="Calibri" w:hAnsi="Calibri"/>
              </w:rPr>
              <w:t xml:space="preserve">Prazo contratual recomendado do fornecedor à entidade</w:t>
            </w:r>
          </w:p>
        </w:tc>
        <w:tc>
          <w:tcPr>
            <w:shd w:color="1e3a8a" w:val="solid"/>
            <w:vAlign w:val="center"/>
          </w:tcPr>
          <w:p>
            <w:r>
              <w:rPr>
                <w:b/>
                <w:bCs/>
                <w:color w:val="ffffff"/>
                <w:sz w:val="22"/>
                <w:szCs w:val="22"/>
                <w:rFonts w:ascii="Calibri" w:cs="Calibri" w:eastAsia="Calibri" w:hAnsi="Calibri"/>
              </w:rPr>
              <w:t xml:space="preserve">Base</w:t>
            </w:r>
          </w:p>
        </w:tc>
      </w:tr>
      <w:tr>
        <w:tc>
          <w:tcPr>
            <w:shd w:color="f3f4f6" w:val="solid"/>
            <w:vAlign w:val="center"/>
          </w:tcPr>
          <w:p>
            <w:r>
              <w:rPr>
                <w:b w:val="false"/>
                <w:bCs w:val="false"/>
                <w:color w:val="374151"/>
                <w:sz w:val="22"/>
                <w:szCs w:val="22"/>
                <w:rFonts w:ascii="Calibri" w:cs="Calibri" w:eastAsia="Calibri" w:hAnsi="Calibri"/>
              </w:rPr>
              <w:t xml:space="preserve">Alerta precoce / notificação inicial</w:t>
            </w:r>
          </w:p>
        </w:tc>
        <w:tc>
          <w:tcPr>
            <w:vAlign w:val="center"/>
          </w:tcPr>
          <w:p>
            <w:r>
              <w:rPr>
                <w:b w:val="false"/>
                <w:bCs w:val="false"/>
                <w:color w:val="374151"/>
                <w:sz w:val="22"/>
                <w:szCs w:val="22"/>
                <w:rFonts w:ascii="Calibri" w:cs="Calibri" w:eastAsia="Calibri" w:hAnsi="Calibri"/>
              </w:rPr>
              <w:t xml:space="preserve">24 horas (Art. 42.º n.º 1 do DL 125/2025)</w:t>
            </w:r>
          </w:p>
        </w:tc>
        <w:tc>
          <w:tcPr>
            <w:vAlign w:val="center"/>
          </w:tcPr>
          <w:p>
            <w:r>
              <w:rPr>
                <w:b w:val="false"/>
                <w:bCs w:val="false"/>
                <w:color w:val="374151"/>
                <w:sz w:val="22"/>
                <w:szCs w:val="22"/>
                <w:rFonts w:ascii="Calibri" w:cs="Calibri" w:eastAsia="Calibri" w:hAnsi="Calibri"/>
              </w:rPr>
              <w:t xml:space="preserve">[Preencher — ex.: até 4 horas após deteção pelo fornecedor]</w:t>
            </w:r>
          </w:p>
        </w:tc>
        <w:tc>
          <w:tcPr>
            <w:vAlign w:val="center"/>
          </w:tcPr>
          <w:p>
            <w:r>
              <w:rPr>
                <w:b w:val="false"/>
                <w:bCs w:val="false"/>
                <w:color w:val="374151"/>
                <w:sz w:val="22"/>
                <w:szCs w:val="22"/>
                <w:rFonts w:ascii="Calibri" w:cs="Calibri" w:eastAsia="Calibri" w:hAnsi="Calibri"/>
              </w:rPr>
              <w:t xml:space="preserve">Boa prática contratual — não é exigência legal direta</w:t>
            </w:r>
          </w:p>
        </w:tc>
      </w:tr>
      <w:tr>
        <w:tc>
          <w:tcPr>
            <w:shd w:color="f3f4f6" w:val="solid"/>
            <w:vAlign w:val="center"/>
          </w:tcPr>
          <w:p>
            <w:r>
              <w:rPr>
                <w:b w:val="false"/>
                <w:bCs w:val="false"/>
                <w:color w:val="374151"/>
                <w:sz w:val="22"/>
                <w:szCs w:val="22"/>
                <w:rFonts w:ascii="Calibri" w:cs="Calibri" w:eastAsia="Calibri" w:hAnsi="Calibri"/>
              </w:rPr>
              <w:t xml:space="preserve">Atualização, quando necessário</w:t>
            </w:r>
          </w:p>
        </w:tc>
        <w:tc>
          <w:tcPr>
            <w:vAlign w:val="center"/>
          </w:tcPr>
          <w:p>
            <w:r>
              <w:rPr>
                <w:b w:val="false"/>
                <w:bCs w:val="false"/>
                <w:color w:val="374151"/>
                <w:sz w:val="22"/>
                <w:szCs w:val="22"/>
                <w:rFonts w:ascii="Calibri" w:cs="Calibri" w:eastAsia="Calibri" w:hAnsi="Calibri"/>
              </w:rPr>
              <w:t xml:space="preserve">72 horas (Art. 42.º n.º 3 do DL 125/2025)</w:t>
            </w:r>
          </w:p>
        </w:tc>
        <w:tc>
          <w:tcPr>
            <w:vAlign w:val="center"/>
          </w:tcPr>
          <w:p>
            <w:r>
              <w:rPr>
                <w:b w:val="false"/>
                <w:bCs w:val="false"/>
                <w:color w:val="374151"/>
                <w:sz w:val="22"/>
                <w:szCs w:val="22"/>
                <w:rFonts w:ascii="Calibri" w:cs="Calibri" w:eastAsia="Calibri" w:hAnsi="Calibri"/>
              </w:rPr>
              <w:t xml:space="preserve">[Preencher — ex.: até 24 horas após deteção pelo fornecedor]</w:t>
            </w:r>
          </w:p>
        </w:tc>
        <w:tc>
          <w:tcPr>
            <w:vAlign w:val="center"/>
          </w:tcPr>
          <w:p>
            <w:r>
              <w:rPr>
                <w:b w:val="false"/>
                <w:bCs w:val="false"/>
                <w:color w:val="374151"/>
                <w:sz w:val="22"/>
                <w:szCs w:val="22"/>
                <w:rFonts w:ascii="Calibri" w:cs="Calibri" w:eastAsia="Calibri" w:hAnsi="Calibri"/>
              </w:rPr>
              <w:t xml:space="preserve">Boa prática contratual</w:t>
            </w:r>
          </w:p>
        </w:tc>
      </w:tr>
      <w:tr>
        <w:tc>
          <w:tcPr>
            <w:shd w:color="f3f4f6" w:val="solid"/>
            <w:vAlign w:val="center"/>
          </w:tcPr>
          <w:p>
            <w:r>
              <w:rPr>
                <w:b w:val="false"/>
                <w:bCs w:val="false"/>
                <w:color w:val="374151"/>
                <w:sz w:val="22"/>
                <w:szCs w:val="22"/>
                <w:rFonts w:ascii="Calibri" w:cs="Calibri" w:eastAsia="Calibri" w:hAnsi="Calibri"/>
              </w:rPr>
              <w:t xml:space="preserve">Notificação de fim de impacto</w:t>
            </w:r>
          </w:p>
        </w:tc>
        <w:tc>
          <w:tcPr>
            <w:vAlign w:val="center"/>
          </w:tcPr>
          <w:p>
            <w:r>
              <w:rPr>
                <w:b w:val="false"/>
                <w:bCs w:val="false"/>
                <w:color w:val="374151"/>
                <w:sz w:val="22"/>
                <w:szCs w:val="22"/>
                <w:rFonts w:ascii="Calibri" w:cs="Calibri" w:eastAsia="Calibri" w:hAnsi="Calibri"/>
              </w:rPr>
              <w:t xml:space="preserve">24 horas após o fim do impacto (Art. 43.º do DL 125/2025)</w:t>
            </w:r>
          </w:p>
        </w:tc>
        <w:tc>
          <w:tcPr>
            <w:vAlign w:val="center"/>
          </w:tcPr>
          <w:p>
            <w:r>
              <w:rPr>
                <w:b w:val="false"/>
                <w:bCs w:val="false"/>
                <w:color w:val="374151"/>
                <w:sz w:val="22"/>
                <w:szCs w:val="22"/>
                <w:rFonts w:ascii="Calibri" w:cs="Calibri" w:eastAsia="Calibri" w:hAnsi="Calibri"/>
              </w:rPr>
              <w:t xml:space="preserve">[Preencher — ex.: até 4 horas após o fornecedor confirmar o fim do impacto]</w:t>
            </w:r>
          </w:p>
        </w:tc>
        <w:tc>
          <w:tcPr>
            <w:vAlign w:val="center"/>
          </w:tcPr>
          <w:p>
            <w:r>
              <w:rPr>
                <w:b w:val="false"/>
                <w:bCs w:val="false"/>
                <w:color w:val="374151"/>
                <w:sz w:val="22"/>
                <w:szCs w:val="22"/>
                <w:rFonts w:ascii="Calibri" w:cs="Calibri" w:eastAsia="Calibri" w:hAnsi="Calibri"/>
              </w:rPr>
              <w:t xml:space="preserve">Boa prática contratual</w:t>
            </w:r>
          </w:p>
        </w:tc>
      </w:tr>
      <w:tr>
        <w:tc>
          <w:tcPr>
            <w:shd w:color="f3f4f6" w:val="solid"/>
            <w:vAlign w:val="center"/>
          </w:tcPr>
          <w:p>
            <w:r>
              <w:rPr>
                <w:b w:val="false"/>
                <w:bCs w:val="false"/>
                <w:color w:val="374151"/>
                <w:sz w:val="22"/>
                <w:szCs w:val="22"/>
                <w:rFonts w:ascii="Calibri" w:cs="Calibri" w:eastAsia="Calibri" w:hAnsi="Calibri"/>
              </w:rPr>
              <w:t xml:space="preserve">Relatório final</w:t>
            </w:r>
          </w:p>
        </w:tc>
        <w:tc>
          <w:tcPr>
            <w:vAlign w:val="center"/>
          </w:tcPr>
          <w:p>
            <w:r>
              <w:rPr>
                <w:b w:val="false"/>
                <w:bCs w:val="false"/>
                <w:color w:val="374151"/>
                <w:sz w:val="22"/>
                <w:szCs w:val="22"/>
                <w:rFonts w:ascii="Calibri" w:cs="Calibri" w:eastAsia="Calibri" w:hAnsi="Calibri"/>
              </w:rPr>
              <w:t xml:space="preserve">30 dias úteis após a notificação de fim de impacto (Art. 44.º do DL 125/2025)</w:t>
            </w:r>
          </w:p>
        </w:tc>
        <w:tc>
          <w:tcPr>
            <w:vAlign w:val="center"/>
          </w:tcPr>
          <w:p>
            <w:r>
              <w:rPr>
                <w:b w:val="false"/>
                <w:bCs w:val="false"/>
                <w:color w:val="374151"/>
                <w:sz w:val="22"/>
                <w:szCs w:val="22"/>
                <w:rFonts w:ascii="Calibri" w:cs="Calibri" w:eastAsia="Calibri" w:hAnsi="Calibri"/>
              </w:rPr>
              <w:t xml:space="preserve">[Preencher — ex.: até 15 dias úteis após a notificação de fim de impacto]</w:t>
            </w:r>
          </w:p>
        </w:tc>
        <w:tc>
          <w:tcPr>
            <w:vAlign w:val="center"/>
          </w:tcPr>
          <w:p>
            <w:r>
              <w:rPr>
                <w:b w:val="false"/>
                <w:bCs w:val="false"/>
                <w:color w:val="374151"/>
                <w:sz w:val="22"/>
                <w:szCs w:val="22"/>
                <w:rFonts w:ascii="Calibri" w:cs="Calibri" w:eastAsia="Calibri" w:hAnsi="Calibri"/>
              </w:rPr>
              <w:t xml:space="preserve">Boa prática contratual — dá margem à entidade para consolidar o relatório</w:t>
            </w:r>
          </w:p>
        </w:tc>
      </w:tr>
    </w:tbl>
    <w:p>
      <w:pPr>
        <w:spacing w:after="160"/>
      </w:pPr>
      <w:r>
        <w:rPr>
          <w:color w:val="374151"/>
          <w:sz w:val="22"/>
          <w:szCs w:val="22"/>
          <w:rFonts w:ascii="Calibri" w:cs="Calibri" w:eastAsia="Calibri" w:hAnsi="Calibri"/>
        </w:rPr>
        <w:t xml:space="preserve">Conteúdo mínimo da notificação do Fornecedor à Entidade (espelhando a informação exigida ao abrigo do Art. 42.º n.º 2 do DL 125/2025, para que a Entidade a possa reencaminhar): data e hora do início ou da deteção do incidente; breve descrição do incidente, incluindo a categoria da causa e dos efeitos; estimativa do impacto (utilizadores afetados, duração, distribuição geográfica); indicação de eventual impacto transfronteiriço; canal e contacto de notificação (ver matriz de contactos, Secção 10).</w:t>
      </w:r>
    </w:p>
    <w:p>
      <w:pPr>
        <w:pStyle w:val="Heading1"/>
        <w:spacing w:before="400" w:after="200"/>
      </w:pPr>
      <w:r>
        <w:rPr>
          <w:b/>
          <w:bCs/>
          <w:color w:val="1e3a8a"/>
          <w:sz w:val="32"/>
          <w:szCs w:val="32"/>
          <w:rFonts w:ascii="Calibri" w:cs="Calibri" w:eastAsia="Calibri" w:hAnsi="Calibri"/>
        </w:rPr>
        <w:t xml:space="preserve">4. Cláusula de auditoria e avaliação contínua da cibersegurança do fornecedor</w:t>
      </w:r>
    </w:p>
    <w:p>
      <w:pPr>
        <w:shd w:color="dbeafe" w:val="solid"/>
        <w:spacing w:before="160" w:after="160"/>
        <w:ind w:left="360" w:right="360"/>
      </w:pPr>
      <w:r>
        <w:rPr>
          <w:i/>
          <w:iCs/>
          <w:color w:val="1e3a8a"/>
          <w:sz w:val="22"/>
          <w:szCs w:val="22"/>
          <w:rFonts w:ascii="Calibri" w:cs="Calibri" w:eastAsia="Calibri" w:hAnsi="Calibri"/>
        </w:rPr>
        <w:t xml:space="preserve">Base legal: GR.CA-5 (nível Elevado) e GR.CA-7 do Anexo III do Regulamento 756/2026.</w:t>
      </w:r>
    </w:p>
    <w:p>
      <w:pPr>
        <w:spacing w:after="160"/>
      </w:pPr>
      <w:r>
        <w:rPr>
          <w:color w:val="374151"/>
          <w:sz w:val="22"/>
          <w:szCs w:val="22"/>
          <w:rFonts w:ascii="Calibri" w:cs="Calibri" w:eastAsia="Calibri" w:hAnsi="Calibri"/>
        </w:rPr>
        <w:t xml:space="preserve">[A Entidade reserva-se o direito de auditar, diretamente ou através de terceiro independente, as práticas de cibersegurança do Fornecedor relevantes para o serviço prestado, mediante pré-aviso razoável, com uma periodicidade mínima de [preencher]. O Fornecedor compromete-se a corrigir, num prazo a acordar, as falhas identificadas nessas auditorias, e a disponibilizar a documentação referida na Secção 2 sempre que solicitada.]</w:t>
      </w:r>
    </w:p>
    <w:p>
      <w:pPr>
        <w:pStyle w:val="Heading1"/>
        <w:spacing w:before="400" w:after="200"/>
      </w:pPr>
      <w:r>
        <w:rPr>
          <w:b/>
          <w:bCs/>
          <w:color w:val="1e3a8a"/>
          <w:sz w:val="32"/>
          <w:szCs w:val="32"/>
          <w:rFonts w:ascii="Calibri" w:cs="Calibri" w:eastAsia="Calibri" w:hAnsi="Calibri"/>
        </w:rPr>
        <w:t xml:space="preserve">5. Cláusula de participação em exercícios do Plano de Resposta a Incidentes e do Plano de Recuperação de Desastres</w:t>
      </w:r>
    </w:p>
    <w:p>
      <w:pPr>
        <w:shd w:color="dbeafe" w:val="solid"/>
        <w:spacing w:before="160" w:after="160"/>
        <w:ind w:left="360" w:right="360"/>
      </w:pPr>
      <w:r>
        <w:rPr>
          <w:i/>
          <w:iCs/>
          <w:color w:val="1e3a8a"/>
          <w:sz w:val="22"/>
          <w:szCs w:val="22"/>
          <w:rFonts w:ascii="Calibri" w:cs="Calibri" w:eastAsia="Calibri" w:hAnsi="Calibri"/>
        </w:rPr>
        <w:t xml:space="preserve">Base legal: GR.CA-8 do Anexo III do Regulamento 756/2026.</w:t>
      </w:r>
    </w:p>
    <w:p>
      <w:pPr>
        <w:spacing w:after="160"/>
      </w:pPr>
      <w:r>
        <w:rPr>
          <w:color w:val="374151"/>
          <w:sz w:val="22"/>
          <w:szCs w:val="22"/>
          <w:rFonts w:ascii="Calibri" w:cs="Calibri" w:eastAsia="Calibri" w:hAnsi="Calibri"/>
        </w:rPr>
        <w:t xml:space="preserve">[O Fornecedor compromete-se a disponibilizar pessoal-chave para participar nos exercícios e testes do Plano de Resposta a Incidentes e do Plano de Recuperação de Desastres da Entidade, com uma periodicidade mínima de [preencher — ex.: anual]. Os pacotes de exercícios de mesa setoriais NIS2 (disponíveis em nis2-portugal.com/pages/template-exercicios-mesa-setoriais.html) podem ser usados como base para estes exercícios conjuntos, nomeadamente o cenário de comprometimento de fornecedor de serviços geridos.]</w:t>
      </w:r>
    </w:p>
    <w:p>
      <w:pPr>
        <w:pStyle w:val="Heading1"/>
        <w:spacing w:before="400" w:after="200"/>
      </w:pPr>
      <w:r>
        <w:rPr>
          <w:b/>
          <w:bCs/>
          <w:color w:val="1e3a8a"/>
          <w:sz w:val="32"/>
          <w:szCs w:val="32"/>
          <w:rFonts w:ascii="Calibri" w:cs="Calibri" w:eastAsia="Calibri" w:hAnsi="Calibri"/>
        </w:rPr>
        <w:t xml:space="preserve">6. Cláusula de devida diligência pré-contratual</w:t>
      </w:r>
    </w:p>
    <w:p>
      <w:pPr>
        <w:shd w:color="dbeafe" w:val="solid"/>
        <w:spacing w:before="160" w:after="160"/>
        <w:ind w:left="360" w:right="360"/>
      </w:pPr>
      <w:r>
        <w:rPr>
          <w:i/>
          <w:iCs/>
          <w:color w:val="1e3a8a"/>
          <w:sz w:val="22"/>
          <w:szCs w:val="22"/>
          <w:rFonts w:ascii="Calibri" w:cs="Calibri" w:eastAsia="Calibri" w:hAnsi="Calibri"/>
        </w:rPr>
        <w:t xml:space="preserve">Base legal: GR.CA-6 do Anexo III do Regulamento 756/2026 (nível Elevado).</w:t>
      </w:r>
    </w:p>
    <w:p>
      <w:pPr>
        <w:spacing w:after="160"/>
      </w:pPr>
      <w:r>
        <w:rPr>
          <w:color w:val="374151"/>
          <w:sz w:val="22"/>
          <w:szCs w:val="22"/>
          <w:rFonts w:ascii="Calibri" w:cs="Calibri" w:eastAsia="Calibri" w:hAnsi="Calibri"/>
        </w:rPr>
        <w:t xml:space="preserve">[Aplicável a novos contratos ou a renovações: antes de contratar, a Entidade realiza um processo de devida diligência do Fornecedor, com o objetivo de minimizar a sua exposição ao risco, cujo resultado é registado e arquivado como evidência de conformidade. Esta cláusula não se aplica retroativamente a contratos já em execução, salvo se as partes assim o acordarem expressamente nesta adenda.]</w:t>
      </w:r>
    </w:p>
    <w:p>
      <w:pPr>
        <w:pStyle w:val="Heading1"/>
        <w:spacing w:before="400" w:after="200"/>
      </w:pPr>
      <w:r>
        <w:rPr>
          <w:b/>
          <w:bCs/>
          <w:color w:val="1e3a8a"/>
          <w:sz w:val="32"/>
          <w:szCs w:val="32"/>
          <w:rFonts w:ascii="Calibri" w:cs="Calibri" w:eastAsia="Calibri" w:hAnsi="Calibri"/>
        </w:rPr>
        <w:t xml:space="preserve">7. Cláusula de subcontratação</w:t>
      </w:r>
    </w:p>
    <w:p>
      <w:pPr>
        <w:spacing w:after="160"/>
      </w:pPr>
      <w:r>
        <w:rPr>
          <w:color w:val="374151"/>
          <w:sz w:val="22"/>
          <w:szCs w:val="22"/>
          <w:rFonts w:ascii="Calibri" w:cs="Calibri" w:eastAsia="Calibri" w:hAnsi="Calibri"/>
        </w:rPr>
        <w:t xml:space="preserve">[O Fornecedor não pode subcontratar total ou parcialmente a prestação do serviço sem autorização prévia e escrita da Entidade. As obrigações desta adenda, nomeadamente as relativas a notificação de incidentes, auditoria e participação em exercícios, estendem-se aos subcontratados do Fornecedor que tenham acesso a sistemas, dados ou infraestruturas da Entidade ("flow-down" de requisitos). O Fornecedor mantém um registo atualizado dos subcontratados relevantes, disponibilizado à Entidade mediante pedido.]</w:t>
      </w:r>
    </w:p>
    <w:p>
      <w:pPr>
        <w:pStyle w:val="Heading1"/>
        <w:spacing w:before="400" w:after="200"/>
      </w:pPr>
      <w:r>
        <w:rPr>
          <w:b/>
          <w:bCs/>
          <w:color w:val="1e3a8a"/>
          <w:sz w:val="32"/>
          <w:szCs w:val="32"/>
          <w:rFonts w:ascii="Calibri" w:cs="Calibri" w:eastAsia="Calibri" w:hAnsi="Calibri"/>
        </w:rPr>
        <w:t xml:space="preserve">8. Cláusula de saída, transição e devolução de dados</w:t>
      </w:r>
    </w:p>
    <w:p>
      <w:pPr>
        <w:spacing w:after="160"/>
      </w:pPr>
      <w:r>
        <w:rPr>
          <w:color w:val="374151"/>
          <w:sz w:val="22"/>
          <w:szCs w:val="22"/>
          <w:rFonts w:ascii="Calibri" w:cs="Calibri" w:eastAsia="Calibri" w:hAnsi="Calibri"/>
        </w:rPr>
        <w:t xml:space="preserve">[No termo ou na cessação do contrato principal, por qualquer motivo, o Fornecedor compromete-se a: (a) devolver à Entidade todos os dados e ativos digitais desta, em formato estruturado e legível, no prazo de [preencher]; (b) cooperar num plano de transição para um novo fornecedor ou para a internalização do serviço; (c) eliminar de forma segura e certificada quaisquer cópias remanescentes dos dados da Entidade após confirmação da devolução, salvo obrigação legal de retenção.]</w:t>
      </w:r>
    </w:p>
    <w:p>
      <w:pPr>
        <w:pStyle w:val="Heading1"/>
        <w:spacing w:before="400" w:after="200"/>
      </w:pPr>
      <w:r>
        <w:rPr>
          <w:b/>
          <w:bCs/>
          <w:color w:val="1e3a8a"/>
          <w:sz w:val="32"/>
          <w:szCs w:val="32"/>
          <w:rFonts w:ascii="Calibri" w:cs="Calibri" w:eastAsia="Calibri" w:hAnsi="Calibri"/>
        </w:rPr>
        <w:t xml:space="preserve">9. Anexo — Níveis de serviço (SLA) e indicadores de notificação</w:t>
      </w:r>
    </w:p>
    <w:p>
      <w:pPr>
        <w:spacing w:after="160"/>
      </w:pPr>
      <w:r>
        <w:rPr>
          <w:color w:val="374151"/>
          <w:sz w:val="22"/>
          <w:szCs w:val="22"/>
          <w:rFonts w:ascii="Calibri" w:cs="Calibri" w:eastAsia="Calibri" w:hAnsi="Calibri"/>
        </w:rPr>
        <w:t xml:space="preserve">Indicadores mensuráveis para acompanhamento do desempenho do Fornecedor em matéria de cibersegurança e de notificação de incidentes. As metas devem ser preenchidas e negociadas entre as partes — este template não fixa valores.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Indicador</w:t>
            </w:r>
          </w:p>
        </w:tc>
        <w:tc>
          <w:tcPr>
            <w:shd w:color="1e3a8a" w:val="solid"/>
            <w:vAlign w:val="center"/>
          </w:tcPr>
          <w:p>
            <w:r>
              <w:rPr>
                <w:b/>
                <w:bCs/>
                <w:color w:val="ffffff"/>
                <w:sz w:val="22"/>
                <w:szCs w:val="22"/>
                <w:rFonts w:ascii="Calibri" w:cs="Calibri" w:eastAsia="Calibri" w:hAnsi="Calibri"/>
              </w:rPr>
              <w:t xml:space="preserve">Definição</w:t>
            </w:r>
          </w:p>
        </w:tc>
        <w:tc>
          <w:tcPr>
            <w:shd w:color="1e3a8a" w:val="solid"/>
            <w:vAlign w:val="center"/>
          </w:tcPr>
          <w:p>
            <w:r>
              <w:rPr>
                <w:b/>
                <w:bCs/>
                <w:color w:val="ffffff"/>
                <w:sz w:val="22"/>
                <w:szCs w:val="22"/>
                <w:rFonts w:ascii="Calibri" w:cs="Calibri" w:eastAsia="Calibri" w:hAnsi="Calibri"/>
              </w:rPr>
              <w:t xml:space="preserve">Meta (SLA)</w:t>
            </w:r>
          </w:p>
        </w:tc>
        <w:tc>
          <w:tcPr>
            <w:shd w:color="1e3a8a" w:val="solid"/>
            <w:vAlign w:val="center"/>
          </w:tcPr>
          <w:p>
            <w:r>
              <w:rPr>
                <w:b/>
                <w:bCs/>
                <w:color w:val="ffffff"/>
                <w:sz w:val="22"/>
                <w:szCs w:val="22"/>
                <w:rFonts w:ascii="Calibri" w:cs="Calibri" w:eastAsia="Calibri" w:hAnsi="Calibri"/>
              </w:rPr>
              <w:t xml:space="preserve">Método de medição</w:t>
            </w:r>
          </w:p>
        </w:tc>
      </w:tr>
      <w:tr>
        <w:tc>
          <w:tcPr>
            <w:shd w:color="f3f4f6" w:val="solid"/>
            <w:vAlign w:val="center"/>
          </w:tcPr>
          <w:p>
            <w:r>
              <w:rPr>
                <w:b w:val="false"/>
                <w:bCs w:val="false"/>
                <w:color w:val="374151"/>
                <w:sz w:val="22"/>
                <w:szCs w:val="22"/>
                <w:rFonts w:ascii="Calibri" w:cs="Calibri" w:eastAsia="Calibri" w:hAnsi="Calibri"/>
              </w:rPr>
              <w:t xml:space="preserve">Disponibilidade do serviço</w:t>
            </w:r>
          </w:p>
        </w:tc>
        <w:tc>
          <w:tcPr>
            <w:vAlign w:val="center"/>
          </w:tcPr>
          <w:p>
            <w:r>
              <w:rPr>
                <w:b w:val="false"/>
                <w:bCs w:val="false"/>
                <w:color w:val="374151"/>
                <w:sz w:val="22"/>
                <w:szCs w:val="22"/>
                <w:rFonts w:ascii="Calibri" w:cs="Calibri" w:eastAsia="Calibri" w:hAnsi="Calibri"/>
              </w:rPr>
              <w:t xml:space="preserve">Percentagem de tempo em que o serviço está operacional no período de referência</w:t>
            </w:r>
          </w:p>
        </w:tc>
        <w:tc>
          <w:tcPr>
            <w:vAlign w:val="center"/>
          </w:tcPr>
          <w:p>
            <w:r>
              <w:rPr>
                <w:b w:val="false"/>
                <w:bCs w:val="false"/>
                <w:color w:val="374151"/>
                <w:sz w:val="22"/>
                <w:szCs w:val="22"/>
                <w:rFonts w:ascii="Calibri" w:cs="Calibri" w:eastAsia="Calibri" w:hAnsi="Calibri"/>
              </w:rPr>
              <w:t xml:space="preserve">[Preencher — ex.: 99,5%]</w:t>
            </w:r>
          </w:p>
        </w:tc>
        <w:tc>
          <w:tcPr>
            <w:vAlign w:val="center"/>
          </w:tcPr>
          <w:p>
            <w:r>
              <w:rPr>
                <w:b w:val="false"/>
                <w:bCs w:val="false"/>
                <w:color w:val="374151"/>
                <w:sz w:val="22"/>
                <w:szCs w:val="22"/>
                <w:rFonts w:ascii="Calibri" w:cs="Calibri" w:eastAsia="Calibri" w:hAnsi="Calibri"/>
              </w:rPr>
              <w:t xml:space="preserve">[Preencher — ferramenta de monitorização, período de cálculo]</w:t>
            </w:r>
          </w:p>
        </w:tc>
      </w:tr>
      <w:tr>
        <w:tc>
          <w:tcPr>
            <w:shd w:color="f3f4f6" w:val="solid"/>
            <w:vAlign w:val="center"/>
          </w:tcPr>
          <w:p>
            <w:r>
              <w:rPr>
                <w:b w:val="false"/>
                <w:bCs w:val="false"/>
                <w:color w:val="374151"/>
                <w:sz w:val="22"/>
                <w:szCs w:val="22"/>
                <w:rFonts w:ascii="Calibri" w:cs="Calibri" w:eastAsia="Calibri" w:hAnsi="Calibri"/>
              </w:rPr>
              <w:t xml:space="preserve">Tempo de deteção a notificação (fornecedor → entidade)</w:t>
            </w:r>
          </w:p>
        </w:tc>
        <w:tc>
          <w:tcPr>
            <w:vAlign w:val="center"/>
          </w:tcPr>
          <w:p>
            <w:r>
              <w:rPr>
                <w:b w:val="false"/>
                <w:bCs w:val="false"/>
                <w:color w:val="374151"/>
                <w:sz w:val="22"/>
                <w:szCs w:val="22"/>
                <w:rFonts w:ascii="Calibri" w:cs="Calibri" w:eastAsia="Calibri" w:hAnsi="Calibri"/>
              </w:rPr>
              <w:t xml:space="preserve">Tempo entre a deteção do incidente pelo fornecedor e a notificação à entidade</w:t>
            </w:r>
          </w:p>
        </w:tc>
        <w:tc>
          <w:tcPr>
            <w:vAlign w:val="center"/>
          </w:tcPr>
          <w:p>
            <w:r>
              <w:rPr>
                <w:b w:val="false"/>
                <w:bCs w:val="false"/>
                <w:color w:val="374151"/>
                <w:sz w:val="22"/>
                <w:szCs w:val="22"/>
                <w:rFonts w:ascii="Calibri" w:cs="Calibri" w:eastAsia="Calibri" w:hAnsi="Calibri"/>
              </w:rPr>
              <w:t xml:space="preserve">[Preencher — ver tabela de cascata acima]</w:t>
            </w:r>
          </w:p>
        </w:tc>
        <w:tc>
          <w:tcPr>
            <w:vAlign w:val="center"/>
          </w:tcPr>
          <w:p>
            <w:r>
              <w:rPr>
                <w:b w:val="false"/>
                <w:bCs w:val="false"/>
                <w:color w:val="374151"/>
                <w:sz w:val="22"/>
                <w:szCs w:val="22"/>
                <w:rFonts w:ascii="Calibri" w:cs="Calibri" w:eastAsia="Calibri" w:hAnsi="Calibri"/>
              </w:rPr>
              <w:t xml:space="preserve">[Preencher]</w:t>
            </w:r>
          </w:p>
        </w:tc>
      </w:tr>
      <w:tr>
        <w:tc>
          <w:tcPr>
            <w:shd w:color="f3f4f6" w:val="solid"/>
            <w:vAlign w:val="center"/>
          </w:tcPr>
          <w:p>
            <w:r>
              <w:rPr>
                <w:b w:val="false"/>
                <w:bCs w:val="false"/>
                <w:color w:val="374151"/>
                <w:sz w:val="22"/>
                <w:szCs w:val="22"/>
                <w:rFonts w:ascii="Calibri" w:cs="Calibri" w:eastAsia="Calibri" w:hAnsi="Calibri"/>
              </w:rPr>
              <w:t xml:space="preserve">Tempo de resposta a pedidos de auditoria</w:t>
            </w:r>
          </w:p>
        </w:tc>
        <w:tc>
          <w:tcPr>
            <w:vAlign w:val="center"/>
          </w:tcPr>
          <w:p>
            <w:r>
              <w:rPr>
                <w:b w:val="false"/>
                <w:bCs w:val="false"/>
                <w:color w:val="374151"/>
                <w:sz w:val="22"/>
                <w:szCs w:val="22"/>
                <w:rFonts w:ascii="Calibri" w:cs="Calibri" w:eastAsia="Calibri" w:hAnsi="Calibri"/>
              </w:rPr>
              <w:t xml:space="preserve">Tempo entre o pedido de auditoria/evidência e a resposta do fornecedor</w:t>
            </w:r>
          </w:p>
        </w:tc>
        <w:tc>
          <w:tcPr>
            <w:vAlign w:val="center"/>
          </w:tcPr>
          <w:p>
            <w:r>
              <w:rPr>
                <w:b w:val="false"/>
                <w:bCs w:val="false"/>
                <w:color w:val="374151"/>
                <w:sz w:val="22"/>
                <w:szCs w:val="22"/>
                <w:rFonts w:ascii="Calibri" w:cs="Calibri" w:eastAsia="Calibri" w:hAnsi="Calibri"/>
              </w:rPr>
              <w:t xml:space="preserve">[Preencher — ex.: 10 dias úteis]</w:t>
            </w:r>
          </w:p>
        </w:tc>
        <w:tc>
          <w:tcPr>
            <w:vAlign w:val="center"/>
          </w:tcPr>
          <w:p>
            <w:r>
              <w:rPr>
                <w:b w:val="false"/>
                <w:bCs w:val="false"/>
                <w:color w:val="374151"/>
                <w:sz w:val="22"/>
                <w:szCs w:val="22"/>
                <w:rFonts w:ascii="Calibri" w:cs="Calibri" w:eastAsia="Calibri" w:hAnsi="Calibri"/>
              </w:rPr>
              <w:t xml:space="preserve">[Preencher]</w:t>
            </w:r>
          </w:p>
        </w:tc>
      </w:tr>
      <w:tr>
        <w:tc>
          <w:tcPr>
            <w:shd w:color="f3f4f6" w:val="solid"/>
            <w:vAlign w:val="center"/>
          </w:tcPr>
          <w:p>
            <w:r>
              <w:rPr>
                <w:b w:val="false"/>
                <w:bCs w:val="false"/>
                <w:color w:val="374151"/>
                <w:sz w:val="22"/>
                <w:szCs w:val="22"/>
                <w:rFonts w:ascii="Calibri" w:cs="Calibri" w:eastAsia="Calibri" w:hAnsi="Calibri"/>
              </w:rPr>
              <w:t xml:space="preserve">Tempo de correção de vulnerabilidades críticas</w:t>
            </w:r>
          </w:p>
        </w:tc>
        <w:tc>
          <w:tcPr>
            <w:vAlign w:val="center"/>
          </w:tcPr>
          <w:p>
            <w:r>
              <w:rPr>
                <w:b w:val="false"/>
                <w:bCs w:val="false"/>
                <w:color w:val="374151"/>
                <w:sz w:val="22"/>
                <w:szCs w:val="22"/>
                <w:rFonts w:ascii="Calibri" w:cs="Calibri" w:eastAsia="Calibri" w:hAnsi="Calibri"/>
              </w:rPr>
              <w:t xml:space="preserve">Tempo entre a identificação e a correção de vulnerabilidades classificadas como críticas</w:t>
            </w:r>
          </w:p>
        </w:tc>
        <w:tc>
          <w:tcPr>
            <w:vAlign w:val="center"/>
          </w:tcPr>
          <w:p>
            <w:r>
              <w:rPr>
                <w:b w:val="false"/>
                <w:bCs w:val="false"/>
                <w:color w:val="374151"/>
                <w:sz w:val="22"/>
                <w:szCs w:val="22"/>
                <w:rFonts w:ascii="Calibri" w:cs="Calibri" w:eastAsia="Calibri" w:hAnsi="Calibri"/>
              </w:rPr>
              <w:t xml:space="preserve">[Preencher]</w:t>
            </w:r>
          </w:p>
        </w:tc>
        <w:tc>
          <w:tcPr>
            <w:vAlign w:val="center"/>
          </w:tcPr>
          <w:p>
            <w:r>
              <w:rPr>
                <w:b w:val="false"/>
                <w:bCs w:val="false"/>
                <w:color w:val="374151"/>
                <w:sz w:val="22"/>
                <w:szCs w:val="22"/>
                <w:rFonts w:ascii="Calibri" w:cs="Calibri" w:eastAsia="Calibri" w:hAnsi="Calibri"/>
              </w:rPr>
              <w:t xml:space="preserve">[Preencher — ex.: CVSS ≥ 9,0]</w:t>
            </w:r>
          </w:p>
        </w:tc>
      </w:tr>
      <w:tr>
        <w:tc>
          <w:tcPr>
            <w:shd w:color="f3f4f6" w:val="solid"/>
            <w:vAlign w:val="center"/>
          </w:tcPr>
          <w:p>
            <w:r>
              <w:rPr>
                <w:b w:val="false"/>
                <w:bCs w:val="false"/>
                <w:color w:val="374151"/>
                <w:sz w:val="22"/>
                <w:szCs w:val="22"/>
                <w:rFonts w:ascii="Calibri" w:cs="Calibri" w:eastAsia="Calibri" w:hAnsi="Calibri"/>
              </w:rPr>
              <w:t xml:space="preserve">Participação em exercícios do PRI/PRD</w:t>
            </w:r>
          </w:p>
        </w:tc>
        <w:tc>
          <w:tcPr>
            <w:vAlign w:val="center"/>
          </w:tcPr>
          <w:p>
            <w:r>
              <w:rPr>
                <w:b w:val="false"/>
                <w:bCs w:val="false"/>
                <w:color w:val="374151"/>
                <w:sz w:val="22"/>
                <w:szCs w:val="22"/>
                <w:rFonts w:ascii="Calibri" w:cs="Calibri" w:eastAsia="Calibri" w:hAnsi="Calibri"/>
              </w:rPr>
              <w:t xml:space="preserve">Número de exercícios anuais com participação de pessoal-chave do fornecedor (GR.CA-8)</w:t>
            </w:r>
          </w:p>
        </w:tc>
        <w:tc>
          <w:tcPr>
            <w:vAlign w:val="center"/>
          </w:tcPr>
          <w:p>
            <w:r>
              <w:rPr>
                <w:b w:val="false"/>
                <w:bCs w:val="false"/>
                <w:color w:val="374151"/>
                <w:sz w:val="22"/>
                <w:szCs w:val="22"/>
                <w:rFonts w:ascii="Calibri" w:cs="Calibri" w:eastAsia="Calibri" w:hAnsi="Calibri"/>
              </w:rPr>
              <w:t xml:space="preserve">[Preencher — ex.: 1 exercício/ano, mínimo]</w:t>
            </w:r>
          </w:p>
        </w:tc>
        <w:tc>
          <w:tcPr>
            <w:vAlign w:val="center"/>
          </w:tcPr>
          <w:p>
            <w:r>
              <w:rPr>
                <w:b w:val="false"/>
                <w:bCs w:val="false"/>
                <w:color w:val="374151"/>
                <w:sz w:val="22"/>
                <w:szCs w:val="22"/>
                <w:rFonts w:ascii="Calibri" w:cs="Calibri" w:eastAsia="Calibri" w:hAnsi="Calibri"/>
              </w:rPr>
              <w:t xml:space="preserve">Registo de participação</w:t>
            </w:r>
          </w:p>
        </w:tc>
      </w:tr>
      <w:tr>
        <w:tc>
          <w:tcPr>
            <w:shd w:color="f3f4f6" w:val="solid"/>
            <w:vAlign w:val="center"/>
          </w:tcPr>
          <w:p>
            <w:r>
              <w:rPr>
                <w:b w:val="false"/>
                <w:bCs w:val="false"/>
                <w:color w:val="374151"/>
                <w:sz w:val="22"/>
                <w:szCs w:val="22"/>
                <w:rFonts w:ascii="Calibri" w:cs="Calibri" w:eastAsia="Calibri" w:hAnsi="Calibri"/>
              </w:rPr>
              <w:t xml:space="preserve">Cobertura de devida diligência de subcontratados</w:t>
            </w:r>
          </w:p>
        </w:tc>
        <w:tc>
          <w:tcPr>
            <w:vAlign w:val="center"/>
          </w:tcPr>
          <w:p>
            <w:r>
              <w:rPr>
                <w:b w:val="false"/>
                <w:bCs w:val="false"/>
                <w:color w:val="374151"/>
                <w:sz w:val="22"/>
                <w:szCs w:val="22"/>
                <w:rFonts w:ascii="Calibri" w:cs="Calibri" w:eastAsia="Calibri" w:hAnsi="Calibri"/>
              </w:rPr>
              <w:t xml:space="preserve">Percentagem de subcontratados relevantes com devida diligência documentada</w:t>
            </w:r>
          </w:p>
        </w:tc>
        <w:tc>
          <w:tcPr>
            <w:vAlign w:val="center"/>
          </w:tcPr>
          <w:p>
            <w:r>
              <w:rPr>
                <w:b w:val="false"/>
                <w:bCs w:val="false"/>
                <w:color w:val="374151"/>
                <w:sz w:val="22"/>
                <w:szCs w:val="22"/>
                <w:rFonts w:ascii="Calibri" w:cs="Calibri" w:eastAsia="Calibri" w:hAnsi="Calibri"/>
              </w:rPr>
              <w:t xml:space="preserve">[Preencher]</w:t>
            </w:r>
          </w:p>
        </w:tc>
        <w:tc>
          <w:tcPr>
            <w:vAlign w:val="center"/>
          </w:tcPr>
          <w:p>
            <w:r>
              <w:rPr>
                <w:b w:val="false"/>
                <w:bCs w:val="false"/>
                <w:color w:val="374151"/>
                <w:sz w:val="22"/>
                <w:szCs w:val="22"/>
                <w:rFonts w:ascii="Calibri" w:cs="Calibri" w:eastAsia="Calibri" w:hAnsi="Calibri"/>
              </w:rPr>
              <w:t xml:space="preserve">[Preencher]</w:t>
            </w:r>
          </w:p>
        </w:tc>
      </w:tr>
    </w:tbl>
    <w:p>
      <w:pPr>
        <w:pStyle w:val="Heading1"/>
        <w:spacing w:before="400" w:after="200"/>
      </w:pPr>
      <w:r>
        <w:rPr>
          <w:b/>
          <w:bCs/>
          <w:color w:val="1e3a8a"/>
          <w:sz w:val="32"/>
          <w:szCs w:val="32"/>
          <w:rFonts w:ascii="Calibri" w:cs="Calibri" w:eastAsia="Calibri" w:hAnsi="Calibri"/>
        </w:rPr>
        <w:t xml:space="preserve">10. Matriz de contactos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Função</w:t>
            </w:r>
          </w:p>
        </w:tc>
        <w:tc>
          <w:tcPr>
            <w:shd w:color="1e3a8a" w:val="solid"/>
            <w:vAlign w:val="center"/>
          </w:tcPr>
          <w:p>
            <w:r>
              <w:rPr>
                <w:b/>
                <w:bCs/>
                <w:color w:val="ffffff"/>
                <w:sz w:val="22"/>
                <w:szCs w:val="22"/>
                <w:rFonts w:ascii="Calibri" w:cs="Calibri" w:eastAsia="Calibri" w:hAnsi="Calibri"/>
              </w:rPr>
              <w:t xml:space="preserve">Entidade (contratante)</w:t>
            </w:r>
          </w:p>
        </w:tc>
        <w:tc>
          <w:tcPr>
            <w:shd w:color="1e3a8a" w:val="solid"/>
            <w:vAlign w:val="center"/>
          </w:tcPr>
          <w:p>
            <w:r>
              <w:rPr>
                <w:b/>
                <w:bCs/>
                <w:color w:val="ffffff"/>
                <w:sz w:val="22"/>
                <w:szCs w:val="22"/>
                <w:rFonts w:ascii="Calibri" w:cs="Calibri" w:eastAsia="Calibri" w:hAnsi="Calibri"/>
              </w:rPr>
              <w:t xml:space="preserve">Fornecedor (contratado)</w:t>
            </w:r>
          </w:p>
        </w:tc>
      </w:tr>
      <w:tr>
        <w:tc>
          <w:tcPr>
            <w:shd w:color="f3f4f6" w:val="solid"/>
            <w:vAlign w:val="center"/>
          </w:tcPr>
          <w:p>
            <w:r>
              <w:rPr>
                <w:b w:val="false"/>
                <w:bCs w:val="false"/>
                <w:color w:val="374151"/>
                <w:sz w:val="22"/>
                <w:szCs w:val="22"/>
                <w:rFonts w:ascii="Calibri" w:cs="Calibri" w:eastAsia="Calibri" w:hAnsi="Calibri"/>
              </w:rPr>
              <w:t xml:space="preserve">Ponto de contacto permanente / gestor do contrato</w:t>
            </w:r>
          </w:p>
        </w:tc>
        <w:tc>
          <w:tcPr>
            <w:vAlign w:val="center"/>
          </w:tcPr>
          <w:p>
            <w:r>
              <w:rPr>
                <w:b w:val="false"/>
                <w:bCs w:val="false"/>
                <w:color w:val="374151"/>
                <w:sz w:val="22"/>
                <w:szCs w:val="22"/>
                <w:rFonts w:ascii="Calibri" w:cs="Calibri" w:eastAsia="Calibri" w:hAnsi="Calibri"/>
              </w:rPr>
              <w:t xml:space="preserve">[Nome, email, telefone]</w:t>
            </w:r>
          </w:p>
        </w:tc>
        <w:tc>
          <w:tcPr>
            <w:vAlign w:val="center"/>
          </w:tcPr>
          <w:p>
            <w:r>
              <w:rPr>
                <w:b w:val="false"/>
                <w:bCs w:val="false"/>
                <w:color w:val="374151"/>
                <w:sz w:val="22"/>
                <w:szCs w:val="22"/>
                <w:rFonts w:ascii="Calibri" w:cs="Calibri" w:eastAsia="Calibri" w:hAnsi="Calibri"/>
              </w:rPr>
              <w:t xml:space="preserve">[Nome, email, telefone]</w:t>
            </w:r>
          </w:p>
        </w:tc>
      </w:tr>
      <w:tr>
        <w:tc>
          <w:tcPr>
            <w:shd w:color="f3f4f6" w:val="solid"/>
            <w:vAlign w:val="center"/>
          </w:tcPr>
          <w:p>
            <w:r>
              <w:rPr>
                <w:b w:val="false"/>
                <w:bCs w:val="false"/>
                <w:color w:val="374151"/>
                <w:sz w:val="22"/>
                <w:szCs w:val="22"/>
                <w:rFonts w:ascii="Calibri" w:cs="Calibri" w:eastAsia="Calibri" w:hAnsi="Calibri"/>
              </w:rPr>
              <w:t xml:space="preserve">Responsável de cibersegurança / CISO</w:t>
            </w:r>
          </w:p>
        </w:tc>
        <w:tc>
          <w:tcPr>
            <w:vAlign w:val="center"/>
          </w:tcPr>
          <w:p>
            <w:r>
              <w:rPr>
                <w:b w:val="false"/>
                <w:bCs w:val="false"/>
                <w:color w:val="374151"/>
                <w:sz w:val="22"/>
                <w:szCs w:val="22"/>
                <w:rFonts w:ascii="Calibri" w:cs="Calibri" w:eastAsia="Calibri" w:hAnsi="Calibri"/>
              </w:rPr>
              <w:t xml:space="preserve">[Nome, email, telefone]</w:t>
            </w:r>
          </w:p>
        </w:tc>
        <w:tc>
          <w:tcPr>
            <w:vAlign w:val="center"/>
          </w:tcPr>
          <w:p>
            <w:r>
              <w:rPr>
                <w:b w:val="false"/>
                <w:bCs w:val="false"/>
                <w:color w:val="374151"/>
                <w:sz w:val="22"/>
                <w:szCs w:val="22"/>
                <w:rFonts w:ascii="Calibri" w:cs="Calibri" w:eastAsia="Calibri" w:hAnsi="Calibri"/>
              </w:rPr>
              <w:t xml:space="preserve">[Nome, email, telefone]</w:t>
            </w:r>
          </w:p>
        </w:tc>
      </w:tr>
      <w:tr>
        <w:tc>
          <w:tcPr>
            <w:shd w:color="f3f4f6" w:val="solid"/>
            <w:vAlign w:val="center"/>
          </w:tcPr>
          <w:p>
            <w:r>
              <w:rPr>
                <w:b w:val="false"/>
                <w:bCs w:val="false"/>
                <w:color w:val="374151"/>
                <w:sz w:val="22"/>
                <w:szCs w:val="22"/>
                <w:rFonts w:ascii="Calibri" w:cs="Calibri" w:eastAsia="Calibri" w:hAnsi="Calibri"/>
              </w:rPr>
              <w:t xml:space="preserve">Contacto de notificação de incidentes 24/7</w:t>
            </w:r>
          </w:p>
        </w:tc>
        <w:tc>
          <w:tcPr>
            <w:vAlign w:val="center"/>
          </w:tcPr>
          <w:p>
            <w:r>
              <w:rPr>
                <w:b w:val="false"/>
                <w:bCs w:val="false"/>
                <w:color w:val="374151"/>
                <w:sz w:val="22"/>
                <w:szCs w:val="22"/>
                <w:rFonts w:ascii="Calibri" w:cs="Calibri" w:eastAsia="Calibri" w:hAnsi="Calibri"/>
              </w:rPr>
              <w:t xml:space="preserve">[Nome, email, telefone]</w:t>
            </w:r>
          </w:p>
        </w:tc>
        <w:tc>
          <w:tcPr>
            <w:vAlign w:val="center"/>
          </w:tcPr>
          <w:p>
            <w:r>
              <w:rPr>
                <w:b w:val="false"/>
                <w:bCs w:val="false"/>
                <w:color w:val="374151"/>
                <w:sz w:val="22"/>
                <w:szCs w:val="22"/>
                <w:rFonts w:ascii="Calibri" w:cs="Calibri" w:eastAsia="Calibri" w:hAnsi="Calibri"/>
              </w:rPr>
              <w:t xml:space="preserve">[Nome, email, telefone]</w:t>
            </w:r>
          </w:p>
        </w:tc>
      </w:tr>
      <w:tr>
        <w:tc>
          <w:tcPr>
            <w:shd w:color="f3f4f6" w:val="solid"/>
            <w:vAlign w:val="center"/>
          </w:tcPr>
          <w:p>
            <w:r>
              <w:rPr>
                <w:b w:val="false"/>
                <w:bCs w:val="false"/>
                <w:color w:val="374151"/>
                <w:sz w:val="22"/>
                <w:szCs w:val="22"/>
                <w:rFonts w:ascii="Calibri" w:cs="Calibri" w:eastAsia="Calibri" w:hAnsi="Calibri"/>
              </w:rPr>
              <w:t xml:space="preserve">Responsável jurídico/contratual</w:t>
            </w:r>
          </w:p>
        </w:tc>
        <w:tc>
          <w:tcPr>
            <w:vAlign w:val="center"/>
          </w:tcPr>
          <w:p>
            <w:r>
              <w:rPr>
                <w:b w:val="false"/>
                <w:bCs w:val="false"/>
                <w:color w:val="374151"/>
                <w:sz w:val="22"/>
                <w:szCs w:val="22"/>
                <w:rFonts w:ascii="Calibri" w:cs="Calibri" w:eastAsia="Calibri" w:hAnsi="Calibri"/>
              </w:rPr>
              <w:t xml:space="preserve">[Nome, email, telefone]</w:t>
            </w:r>
          </w:p>
        </w:tc>
        <w:tc>
          <w:tcPr>
            <w:vAlign w:val="center"/>
          </w:tcPr>
          <w:p>
            <w:r>
              <w:rPr>
                <w:b w:val="false"/>
                <w:bCs w:val="false"/>
                <w:color w:val="374151"/>
                <w:sz w:val="22"/>
                <w:szCs w:val="22"/>
                <w:rFonts w:ascii="Calibri" w:cs="Calibri" w:eastAsia="Calibri" w:hAnsi="Calibri"/>
              </w:rPr>
              <w:t xml:space="preserve">[Nome, email, telefone]</w:t>
            </w:r>
          </w:p>
        </w:tc>
      </w:tr>
      <w:tr>
        <w:tc>
          <w:tcPr>
            <w:shd w:color="f3f4f6" w:val="solid"/>
            <w:vAlign w:val="center"/>
          </w:tcPr>
          <w:p>
            <w:r>
              <w:rPr>
                <w:b w:val="false"/>
                <w:bCs w:val="false"/>
                <w:color w:val="374151"/>
                <w:sz w:val="22"/>
                <w:szCs w:val="22"/>
                <w:rFonts w:ascii="Calibri" w:cs="Calibri" w:eastAsia="Calibri" w:hAnsi="Calibri"/>
              </w:rPr>
              <w:t xml:space="preserve">Responsável pela proteção de dados (se aplicável)</w:t>
            </w:r>
          </w:p>
        </w:tc>
        <w:tc>
          <w:tcPr>
            <w:vAlign w:val="center"/>
          </w:tcPr>
          <w:p>
            <w:r>
              <w:rPr>
                <w:b w:val="false"/>
                <w:bCs w:val="false"/>
                <w:color w:val="374151"/>
                <w:sz w:val="22"/>
                <w:szCs w:val="22"/>
                <w:rFonts w:ascii="Calibri" w:cs="Calibri" w:eastAsia="Calibri" w:hAnsi="Calibri"/>
              </w:rPr>
              <w:t xml:space="preserve">[Nome, email, telefone]</w:t>
            </w:r>
          </w:p>
        </w:tc>
        <w:tc>
          <w:tcPr>
            <w:vAlign w:val="center"/>
          </w:tcPr>
          <w:p>
            <w:r>
              <w:rPr>
                <w:b w:val="false"/>
                <w:bCs w:val="false"/>
                <w:color w:val="374151"/>
                <w:sz w:val="22"/>
                <w:szCs w:val="22"/>
                <w:rFonts w:ascii="Calibri" w:cs="Calibri" w:eastAsia="Calibri" w:hAnsi="Calibri"/>
              </w:rPr>
              <w:t xml:space="preserve">[Nome, email, telefone]</w:t>
            </w:r>
          </w:p>
        </w:tc>
      </w:tr>
    </w:tbl>
    <w:p>
      <w:pPr>
        <w:pStyle w:val="Heading1"/>
        <w:spacing w:before="400" w:after="200"/>
      </w:pPr>
      <w:r>
        <w:rPr>
          <w:b/>
          <w:bCs/>
          <w:color w:val="1e3a8a"/>
          <w:sz w:val="32"/>
          <w:szCs w:val="32"/>
          <w:rFonts w:ascii="Calibri" w:cs="Calibri" w:eastAsia="Calibri" w:hAnsi="Calibri"/>
        </w:rPr>
        <w:t xml:space="preserve">11. Penalizações</w:t>
      </w:r>
    </w:p>
    <w:p>
      <w:pPr>
        <w:spacing w:after="160"/>
      </w:pPr>
      <w:r>
        <w:rPr>
          <w:color w:val="374151"/>
          <w:sz w:val="22"/>
          <w:szCs w:val="22"/>
          <w:rFonts w:ascii="Calibri" w:cs="Calibri" w:eastAsia="Calibri" w:hAnsi="Calibri"/>
        </w:rPr>
        <w:t xml:space="preserve">[As penalizações contratuais por incumprimento dos prazos e obrigações desta adenda (ex.: créditos de serviço, redução de fatura, direito de rescisão) são matéria de direito civil e contratual comum, fora do âmbito direto do DL 125/2025 — a definir entre as partes de acordo com a prática contratual da Entidade e aconselhamento jurídico próprio.]</w:t>
      </w:r>
    </w:p>
    <w:p>
      <w:r>
        <w:br w:type="page"/>
      </w:r>
    </w:p>
    <w:p>
      <w:pPr>
        <w:pStyle w:val="Heading1"/>
        <w:spacing w:before="400" w:after="200"/>
      </w:pPr>
      <w:r>
        <w:rPr>
          <w:b/>
          <w:bCs/>
          <w:color w:val="1e3a8a"/>
          <w:sz w:val="32"/>
          <w:szCs w:val="32"/>
          <w:rFonts w:ascii="Calibri" w:cs="Calibri" w:eastAsia="Calibri" w:hAnsi="Calibri"/>
        </w:rPr>
        <w:t xml:space="preserve">Anexo — Checklist de verificação</w:t>
      </w:r>
    </w:p>
    <w:p>
      <w:pPr>
        <w:pStyle w:val="ListParagraph"/>
        <w:numPr>
          <w:ilvl w:val="0"/>
          <w:numId w:val="1"/>
        </w:numPr>
        <w:spacing w:after="80"/>
      </w:pPr>
      <w:r>
        <w:rPr>
          <w:color w:val="374151"/>
          <w:sz w:val="22"/>
          <w:szCs w:val="22"/>
          <w:rFonts w:ascii="Calibri" w:cs="Calibri" w:eastAsia="Calibri" w:hAnsi="Calibri"/>
        </w:rPr>
        <w:t xml:space="preserve">Identifiquei corretamente o contrato principal a que esta adenda se refere.</w:t>
      </w:r>
    </w:p>
    <w:p>
      <w:pPr>
        <w:pStyle w:val="ListParagraph"/>
        <w:numPr>
          <w:ilvl w:val="0"/>
          <w:numId w:val="1"/>
        </w:numPr>
        <w:spacing w:after="80"/>
      </w:pPr>
      <w:r>
        <w:rPr>
          <w:color w:val="374151"/>
          <w:sz w:val="22"/>
          <w:szCs w:val="22"/>
          <w:rFonts w:ascii="Calibri" w:cs="Calibri" w:eastAsia="Calibri" w:hAnsi="Calibri"/>
        </w:rPr>
        <w:t xml:space="preserve">Defini, em conjunto com o fornecedor, os prazos contratuais de notificação em cascata da Secção 3.</w:t>
      </w:r>
    </w:p>
    <w:p>
      <w:pPr>
        <w:pStyle w:val="ListParagraph"/>
        <w:numPr>
          <w:ilvl w:val="0"/>
          <w:numId w:val="1"/>
        </w:numPr>
        <w:spacing w:after="80"/>
      </w:pPr>
      <w:r>
        <w:rPr>
          <w:color w:val="374151"/>
          <w:sz w:val="22"/>
          <w:szCs w:val="22"/>
          <w:rFonts w:ascii="Calibri" w:cs="Calibri" w:eastAsia="Calibri" w:hAnsi="Calibri"/>
        </w:rPr>
        <w:t xml:space="preserve">Verifiquei se o fornecedor está abrangido pelo Regulamento de Execução (UE) 2024/2690 (serviços geridos/de segurança geridos) e, em caso afirmativo, referenciei os seus limiares.</w:t>
      </w:r>
    </w:p>
    <w:p>
      <w:pPr>
        <w:pStyle w:val="ListParagraph"/>
        <w:numPr>
          <w:ilvl w:val="0"/>
          <w:numId w:val="1"/>
        </w:numPr>
        <w:spacing w:after="80"/>
      </w:pPr>
      <w:r>
        <w:rPr>
          <w:color w:val="374151"/>
          <w:sz w:val="22"/>
          <w:szCs w:val="22"/>
          <w:rFonts w:ascii="Calibri" w:cs="Calibri" w:eastAsia="Calibri" w:hAnsi="Calibri"/>
        </w:rPr>
        <w:t xml:space="preserve">Preenchi as metas do anexo de SLA (Secção 9) com valores negociados, não com os exemplos ilustrativos.</w:t>
      </w:r>
    </w:p>
    <w:p>
      <w:pPr>
        <w:pStyle w:val="ListParagraph"/>
        <w:numPr>
          <w:ilvl w:val="0"/>
          <w:numId w:val="1"/>
        </w:numPr>
        <w:spacing w:after="80"/>
      </w:pPr>
      <w:r>
        <w:rPr>
          <w:color w:val="374151"/>
          <w:sz w:val="22"/>
          <w:szCs w:val="22"/>
          <w:rFonts w:ascii="Calibri" w:cs="Calibri" w:eastAsia="Calibri" w:hAnsi="Calibri"/>
        </w:rPr>
        <w:t xml:space="preserve">Preenchi a matriz de contactos (Secção 10) com pontos de contacto reais e atualizados de ambas as partes.</w:t>
      </w:r>
    </w:p>
    <w:p>
      <w:pPr>
        <w:pStyle w:val="ListParagraph"/>
        <w:numPr>
          <w:ilvl w:val="0"/>
          <w:numId w:val="1"/>
        </w:numPr>
        <w:spacing w:after="80"/>
      </w:pPr>
      <w:r>
        <w:rPr>
          <w:color w:val="374151"/>
          <w:sz w:val="22"/>
          <w:szCs w:val="22"/>
          <w:rFonts w:ascii="Calibri" w:cs="Calibri" w:eastAsia="Calibri" w:hAnsi="Calibri"/>
        </w:rPr>
        <w:t xml:space="preserve">Verifiquei se esta adenda deve ser cruzada com o template "Cláusulas de Segurança para Contratos com Fornecedores" para um enquadramento contratual mais amplo.</w:t>
      </w:r>
    </w:p>
    <w:p>
      <w:pPr>
        <w:pStyle w:val="ListParagraph"/>
        <w:numPr>
          <w:ilvl w:val="0"/>
          <w:numId w:val="1"/>
        </w:numPr>
        <w:spacing w:after="80"/>
      </w:pPr>
      <w:r>
        <w:rPr>
          <w:color w:val="374151"/>
          <w:sz w:val="22"/>
          <w:szCs w:val="22"/>
          <w:rFonts w:ascii="Calibri" w:cs="Calibri" w:eastAsia="Calibri" w:hAnsi="Calibri"/>
        </w:rPr>
        <w:t xml:space="preserve">Assegurei que a cláusula de subcontratação (Secção 7) estende as obrigações relevantes aos subcontratados do fornecedor.</w:t>
      </w:r>
    </w:p>
    <w:p>
      <w:pPr>
        <w:pStyle w:val="ListParagraph"/>
        <w:numPr>
          <w:ilvl w:val="0"/>
          <w:numId w:val="1"/>
        </w:numPr>
        <w:spacing w:after="80"/>
      </w:pPr>
      <w:r>
        <w:rPr>
          <w:color w:val="374151"/>
          <w:sz w:val="22"/>
          <w:szCs w:val="22"/>
          <w:rFonts w:ascii="Calibri" w:cs="Calibri" w:eastAsia="Calibri" w:hAnsi="Calibri"/>
        </w:rPr>
        <w:t xml:space="preserve">Submeti esta adenda a aconselhamento jurídico próprio antes da assinatura.</w:t>
      </w:r>
    </w:p>
    <w:p>
      <w:pPr>
        <w:pStyle w:val="Heading1"/>
        <w:spacing w:before="400" w:after="200"/>
      </w:pPr>
      <w:r>
        <w:rPr>
          <w:b/>
          <w:bCs/>
          <w:color w:val="1e3a8a"/>
          <w:sz w:val="32"/>
          <w:szCs w:val="32"/>
          <w:rFonts w:ascii="Calibri" w:cs="Calibri" w:eastAsia="Calibri" w:hAnsi="Calibri"/>
        </w:rPr>
        <w:t xml:space="preserve">Assinaturas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color="1e3a8a" w:val="solid"/>
            <w:vAlign w:val="center"/>
          </w:tcPr>
          <w:p>
            <w:r>
              <w:rPr>
                <w:b/>
                <w:bCs/>
                <w:color w:val="ffffff"/>
                <w:sz w:val="22"/>
                <w:szCs w:val="22"/>
                <w:rFonts w:ascii="Calibri" w:cs="Calibri" w:eastAsia="Calibri" w:hAnsi="Calibri"/>
              </w:rPr>
              <w:t xml:space="preserve">Parte</w:t>
            </w:r>
          </w:p>
        </w:tc>
        <w:tc>
          <w:tcPr>
            <w:tcW w:type="pct" w:w="35%"/>
            <w:shd w:color="1e3a8a" w:val="solid"/>
            <w:vAlign w:val="center"/>
          </w:tcPr>
          <w:p>
            <w:r>
              <w:rPr>
                <w:b/>
                <w:bCs/>
                <w:color w:val="ffffff"/>
                <w:sz w:val="22"/>
                <w:szCs w:val="22"/>
                <w:rFonts w:ascii="Calibri" w:cs="Calibri" w:eastAsia="Calibri" w:hAnsi="Calibri"/>
              </w:rPr>
              <w:t xml:space="preserve">Nome/Cargo</w:t>
            </w:r>
          </w:p>
        </w:tc>
        <w:tc>
          <w:tcPr>
            <w:tcW w:type="pct" w:w="15%"/>
            <w:shd w:color="1e3a8a" w:val="solid"/>
            <w:vAlign w:val="center"/>
          </w:tcPr>
          <w:p>
            <w:r>
              <w:rPr>
                <w:b/>
                <w:bCs/>
                <w:color w:val="ffffff"/>
                <w:sz w:val="22"/>
                <w:szCs w:val="22"/>
                <w:rFonts w:ascii="Calibri" w:cs="Calibri" w:eastAsia="Calibri" w:hAnsi="Calibri"/>
              </w:rPr>
              <w:t xml:space="preserve">Data</w:t>
            </w:r>
          </w:p>
        </w:tc>
        <w:tc>
          <w:tcPr>
            <w:tcW w:type="pct" w:w="25%"/>
            <w:shd w:color="1e3a8a" w:val="solid"/>
            <w:vAlign w:val="center"/>
          </w:tcPr>
          <w:p>
            <w:r>
              <w:rPr>
                <w:b/>
                <w:bCs/>
                <w:color w:val="ffffff"/>
                <w:sz w:val="22"/>
                <w:szCs w:val="22"/>
                <w:rFonts w:ascii="Calibri" w:cs="Calibri" w:eastAsia="Calibri" w:hAnsi="Calibri"/>
              </w:rPr>
              <w:t xml:space="preserve">Assinatura</w:t>
            </w:r>
          </w:p>
        </w:tc>
      </w:tr>
      <w:tr>
        <w:tc>
          <w:tcPr>
            <w:shd w:color="f3f4f6" w:val="solid"/>
            <w:vAlign w:val="center"/>
          </w:tcPr>
          <w:p>
            <w:r>
              <w:rPr>
                <w:b/>
                <w:bCs/>
                <w:color w:val="374151"/>
                <w:sz w:val="22"/>
                <w:szCs w:val="22"/>
                <w:rFonts w:ascii="Calibri" w:cs="Calibri" w:eastAsia="Calibri" w:hAnsi="Calibri"/>
              </w:rPr>
              <w:t xml:space="preserve">Entidade (contratante)</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r>
        <w:tc>
          <w:tcPr>
            <w:shd w:color="f3f4f6" w:val="solid"/>
            <w:vAlign w:val="center"/>
          </w:tcPr>
          <w:p>
            <w:r>
              <w:rPr>
                <w:b/>
                <w:bCs/>
                <w:color w:val="374151"/>
                <w:sz w:val="22"/>
                <w:szCs w:val="22"/>
                <w:rFonts w:ascii="Calibri" w:cs="Calibri" w:eastAsia="Calibri" w:hAnsi="Calibri"/>
              </w:rPr>
              <w:t xml:space="preserve">Fornecedor (contratado)</w:t>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c>
          <w:tcPr>
            <w:vAlign w:val="center"/>
          </w:tcPr>
          <w:p>
            <w:r>
              <w:rPr>
                <w:b w:val="false"/>
                <w:bCs w:val="false"/>
                <w:color w:val="374151"/>
                <w:sz w:val="22"/>
                <w:szCs w:val="22"/>
                <w:rFonts w:ascii="Calibri" w:cs="Calibri" w:eastAsia="Calibri" w:hAnsi="Calibri"/>
              </w:rPr>
            </w:r>
          </w:p>
        </w:tc>
      </w:tr>
    </w:tbl>
    <w:p>
      <w:pPr>
        <w:pStyle w:val="Heading1"/>
        <w:spacing w:before="400" w:after="200"/>
      </w:pPr>
      <w:r>
        <w:rPr>
          <w:b/>
          <w:bCs/>
          <w:color w:val="1e3a8a"/>
          <w:sz w:val="32"/>
          <w:szCs w:val="32"/>
          <w:rFonts w:ascii="Calibri" w:cs="Calibri" w:eastAsia="Calibri" w:hAnsi="Calibri"/>
        </w:rPr>
        <w:t xml:space="preserve">Nota</w:t>
      </w:r>
    </w:p>
    <w:p>
      <w:pPr>
        <w:spacing w:after="160"/>
      </w:pPr>
      <w:r>
        <w:rPr>
          <w:color w:val="374151"/>
          <w:sz w:val="22"/>
          <w:szCs w:val="22"/>
          <w:rFonts w:ascii="Calibri" w:cs="Calibri" w:eastAsia="Calibri" w:hAnsi="Calibri"/>
        </w:rPr>
        <w:t xml:space="preserve">Este modelo não substitui aconselhamento jurídico. As cláusulas contratuais e as metas de SLA devem ser revistas e negociadas por ambas as partes antes da assinatura.</w:t>
      </w:r>
    </w:p>
    <w:p>
      <w:pPr>
        <w:pStyle w:val="Heading1"/>
      </w:pPr>
      <w:r>
        <w:rPr>
          <w:b/>
          <w:color w:val="1E3A8A"/>
          <w:sz w:val="28"/>
        </w:rPr>
        <w:t>12.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15/09/2027.</w:t>
      </w:r>
    </w:p>
    <w:p>
      <w:pPr>
        <w:pStyle w:val="Heading1"/>
      </w:pPr>
      <w:r>
        <w:rPr>
          <w:b/>
          <w:color w:val="1E3A8A"/>
          <w:sz w:val="28"/>
        </w:rPr>
        <w:t>13.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14.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Adenda contratual — Fornecedores de serviços TIC geridos — Art. 28.º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2026-09-15T13:41:33.977Z</dcterms:created>
  <dcterms:modified xsi:type="dcterms:W3CDTF">2026-09-15T13:41:33.977Z</dcterms:modified>
  <dc:title>Adenda contratual fornecedores tic</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