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administração pública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da administração pública — incluindo ministérios, serviços centrais, institutos públicos e entidades reguladoras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A administração pública central é abrangida pelo âmbito de aplicação do DL 125/2025 como sector de alta criticidade. As autoridades supervisoras são o Centro Nacional de Cibersegurança (CNCS) para a supervisão de cibersegurança e o Gabinete Nacional de Segurança (GNS) para matérias de informação classificada e segurança nacional. A Agência para a Modernização Administrativa (AMA) é responsável pela plataforma ePortugal e pela Chave Móvel Digital.</w:t>
      </w:r>
    </w:p>
    <w:p>
      <w:r>
        <w:rPr>
          <w:color w:val="374151"/>
          <w:sz w:val="22"/>
        </w:rPr>
        <w:t>A checklist abrange a proteção de dados de cidadãos, a segurança de serviços digitais do Estado, a gestão de identidades digitais, a continuidade de serviços públicos críticos, a interoperabilidade segura através da plataforma iAP e os requisitos transversais do Art. 27.º do DL 125/2025.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da administração pública devem articular os requisitos do DL 125/2025 com a legislação sectorial aplicável: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acesso, criptografia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RGPD (Regulamento UE 2016/679) e Lei n.º 58/2019 — Proteção de dados pessoais de cidadãos e obrigação de notificação de violações de dados à CNPD.</w:t>
      </w:r>
    </w:p>
    <w:p>
      <w:pPr>
        <w:pStyle w:val="ListParagraph"/>
      </w:pPr>
      <w:r>
        <w:rPr>
          <w:color w:val="374151"/>
          <w:sz w:val="22"/>
        </w:rPr>
        <w:t>Lei Orgânica n.º 4/2014 (GNS) — Requisitos de segurança para tratamento de informação classificada.</w:t>
      </w:r>
    </w:p>
    <w:p>
      <w:pPr>
        <w:pStyle w:val="ListParagraph"/>
      </w:pPr>
      <w:r>
        <w:rPr>
          <w:color w:val="374151"/>
          <w:sz w:val="22"/>
        </w:rPr>
        <w:t>Resolução do Conselho de Ministros n.º 41/2018 — Estratégia Nacional de Segurança do Ciberespaço e obrigações de reporte de incidentes na AP.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segurança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dados de cidadãos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pessoais de cidadãos armazenados em sistemas da AP pro...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dos serviços digitais (ePortugal, SNS)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Plataformas de serviços públicos digitais com testes de segu...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da Chave Móvel Digital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Mecanismo de autenticação Chave Móvel Digital com controlos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Classificação de informação (GNS)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Informação classificada tratada em conformidade com as norma...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cloud pública utilizada pela AP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e monitorização de fornecedores de cloud pública 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o RGPD na AP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Medidas de proteção de dados pessoais em conformidade com o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identidades digitais de funcionários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para acesso a sistemas da AP, gestão do ciclo de vida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Continuidade de serviços públicos críticos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Planos de continuidade para serviços essenciais (SNS, ePortu...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de funcionários públicos em cibersegurança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obrigatória de cibersegurança para funcionári...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Interoperabilidade segura (iAP)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Plataforma de interoperabilidade da AP (iAP) com comunicaçõe...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vulnerabilidades em sistemas da AP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identificação e remediação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redes e sistemas internos da AP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de redes, monitorização de tráfego e controlos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CNCS/GNS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ao CNC...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fornecedores de TI da AP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e monitorização de segurança de fornecedores de TI...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AP-15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penetração e auditorias de segurança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Realização periódica de testes de penetração e auditorias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para serviços públicos digitais</w:t>
      </w:r>
    </w:p>
    <w:p>
      <w:r>
        <w:rPr>
          <w:color w:val="374151"/>
          <w:sz w:val="22"/>
        </w:rPr>
        <w:t>Os serviços públicos digitais têm requisitos específicos de segurança, dada a sua natureza de atendimento massivo ao cidadão e o elevado volume de dados pessoais tratados:</w:t>
      </w:r>
    </w:p>
    <w:p>
      <w:pPr>
        <w:pStyle w:val="ListParagraph"/>
      </w:pPr>
      <w:r>
        <w:rPr>
          <w:color w:val="374151"/>
          <w:sz w:val="22"/>
        </w:rPr>
        <w:t>Testes de segurança regulares: realização de testes de penetração e avaliações de vulnerabilidade nas plataformas de serviços ao cidadão (ePortugal, portais sectoriais) pelo menos uma vez por ano.</w:t>
      </w:r>
    </w:p>
    <w:p>
      <w:pPr>
        <w:pStyle w:val="ListParagraph"/>
      </w:pPr>
      <w:r>
        <w:rPr>
          <w:color w:val="374151"/>
          <w:sz w:val="22"/>
        </w:rPr>
        <w:t>Proteção de identidade digital: monitorização contínua de acessos à Chave Móvel Digital, deteção de anomalias e mecanismos de alertas automáticos para acessos suspeitos.</w:t>
      </w:r>
    </w:p>
    <w:p>
      <w:pPr>
        <w:pStyle w:val="ListParagraph"/>
      </w:pPr>
      <w:r>
        <w:rPr>
          <w:color w:val="374151"/>
          <w:sz w:val="22"/>
        </w:rPr>
        <w:t>Segurança da cloud: avaliação de conformidade dos fornecedores de cloud com os requisitos do DL 125/2025 e aplicação de cláusulas contratuais de segurança e auditabilidade.</w:t>
      </w:r>
    </w:p>
    <w:p>
      <w:pPr>
        <w:pStyle w:val="ListParagraph"/>
      </w:pPr>
      <w:r>
        <w:rPr>
          <w:color w:val="374151"/>
          <w:sz w:val="22"/>
        </w:rPr>
        <w:t>Interoperabilidade segura: comunicações entre entidades da AP através da plataforma iAP com autenticação mútua, cifra de dados em trânsito e registo de acessos auditável.</w:t>
      </w:r>
    </w:p>
    <w:p>
      <w:pPr>
        <w:pStyle w:val="ListParagraph"/>
      </w:pPr>
      <w:r>
        <w:rPr>
          <w:color w:val="374151"/>
          <w:sz w:val="22"/>
        </w:rPr>
        <w:t>Planos de continuidade: definição de RTO (Recovery Time Objective) e RPO (Recovery Point Objective) para cada serviço crítico ao cidadão, com testes semestrais dos planos de recuperação.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na administração pública, devem ser notificadas as seguintes entidades nos prazos previstos no Art. 34.º do DL 125/2025: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 (alerta precoce).</w:t>
      </w:r>
    </w:p>
    <w:p>
      <w:pPr>
        <w:pStyle w:val="ListParagraph"/>
      </w:pPr>
      <w:r>
        <w:rPr>
          <w:color w:val="374151"/>
          <w:sz w:val="22"/>
        </w:rPr>
        <w:t>GNS — Gabinete Nacional de Segurança: notificação se o incidente envolver informação classificada ou sistemas de interesse para a segurança nacional.</w:t>
      </w:r>
    </w:p>
    <w:p>
      <w:pPr>
        <w:pStyle w:val="ListParagraph"/>
      </w:pPr>
      <w:r>
        <w:rPr>
          <w:color w:val="374151"/>
          <w:sz w:val="22"/>
        </w:rPr>
        <w:t>PJ — Polícia Judiciária (UNC3T): contacto em caso de suspeita de crime informático, fraude ou espionagem.</w:t>
      </w:r>
    </w:p>
    <w:p>
      <w:pPr>
        <w:pStyle w:val="ListParagraph"/>
      </w:pPr>
      <w:r>
        <w:rPr>
          <w:color w:val="374151"/>
          <w:sz w:val="22"/>
        </w:rPr>
        <w:t>CNPD — Comissão Nacional de Proteção de Dados: notificação de violação de dados pessoais de cidadãos em menos de 72 horas após deteção.</w:t>
      </w:r>
    </w:p>
    <w:p>
      <w:pPr>
        <w:pStyle w:val="ListParagraph"/>
      </w:pPr>
      <w:r>
        <w:rPr>
          <w:color w:val="374151"/>
          <w:sz w:val="22"/>
        </w:rPr>
        <w:t>AMA — Agência para a Modernização Administrativa: coordenação em incidentes que afetem ePortugal, Chave Móvel Digital ou a plataforma iAP.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 Controlos relacionados com dados de cidadãos e serviços essenciais têm prioridade máxima.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AP-01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AP-02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AP-03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AP-04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AP-05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significativo, alteração ao quadro legal ou mudança relevante nos sistemas de informação da entidade.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proteção de dados (DPO)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