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das águas residuais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os operadores de sistemas de recolha, tratamento e descarga de águas residuais urbanas e industriais na avaliação do seu nível de conformidade com o Decreto-Lei n.º 125/2025, que transpõe a Diretiva NIS2 para o ordenamento jurídico português.</w:t>
      </w:r>
    </w:p>
    <w:p>
      <w:r>
        <w:rPr>
          <w:color w:val="374151"/>
          <w:sz w:val="22"/>
        </w:rPr>
        <w:t>O sector das águas residuais é classificado como sector de alta criticidade no Anexo I do DL 125/2025. As entidades essenciais estão sujeitas a supervisão pela Entidade Reguladora dos Serviços de Águas e Resíduos (ERSAR) e pelo Centro Nacional de Cibersegurança (CNCS), e podem ser objeto de coimas até 10 000 000 EUR ou 2% do volume de negócios anual global em caso de incumprimento.</w:t>
      </w:r>
    </w:p>
    <w:p>
      <w:r>
        <w:rPr>
          <w:color w:val="374151"/>
          <w:sz w:val="22"/>
        </w:rPr>
        <w:t>A checklist abrange especificamente os controlos de cibersegurança para sistemas OT de tratamento de águas residuais, incluindo SCADA de ETAR, sistemas de telemetria, redes de bombagem e sistemas de monitorização ambiental de descargas. A proteção destes sistemas é crítica não apenas para a continuidade do serviço mas também para a prevenção de impactos ambientais graves.</w:t>
      </w:r>
    </w:p>
    <w:p>
      <w:r>
        <w:rPr>
          <w:color w:val="374151"/>
          <w:sz w:val="22"/>
        </w:rPr>
        <w:t>Autoridades supervisoras: ERSAR — regulação e supervisão sectorial do serviço de águas residuais; CNCS — supervisão de cibersegurança; APA — autoridade ambiental para conformidade das descargas; IGAMAOT — inspeção ambiental.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As entidades do sector das águas residuais classificadas como essenciais ao abrigo do DL 125/2025 devem cumprir os requisitos dos artigos 27.º a 30.º (medidas de segurança) e 34.º a 36.º (notificação de incidentes), em articulação com a legislação ambiental aplicável às descargas de efluentes:</w:t>
      </w:r>
    </w:p>
    <w:p>
      <w:pPr>
        <w:pStyle w:val="ListParagraph"/>
      </w:pPr>
      <w:r>
        <w:rPr>
          <w:color w:val="374151"/>
          <w:sz w:val="22"/>
        </w:rPr>
        <w:t>Art. 27.º — Medidas de gestão do risco de cibersegurança: políticas, continuidade, segurança da cadeia de fornecimento, controlos de acesso, criptografia e gestão de incidentes.</w:t>
      </w:r>
    </w:p>
    <w:p>
      <w:pPr>
        <w:pStyle w:val="ListParagraph"/>
      </w:pPr>
      <w:r>
        <w:rPr>
          <w:color w:val="374151"/>
          <w:sz w:val="22"/>
        </w:rPr>
        <w:t>Art. 34.º — Notificação de incidentes: alerta precoce em 24 horas, notificação completa em 72 horas, relatório final em 30 dias à ERSAR e ao CNCS.</w:t>
      </w:r>
    </w:p>
    <w:p>
      <w:pPr>
        <w:pStyle w:val="ListParagraph"/>
      </w:pPr>
      <w:r>
        <w:rPr>
          <w:color w:val="374151"/>
          <w:sz w:val="22"/>
        </w:rPr>
        <w:t>Decreto-Lei n.º 152/97 e legislação subsequente — requisitos de tratamento de águas residuais urbanas e limites de descarga.</w:t>
      </w:r>
    </w:p>
    <w:p>
      <w:pPr>
        <w:pStyle w:val="ListParagraph"/>
      </w:pPr>
      <w:r>
        <w:rPr>
          <w:color w:val="374151"/>
          <w:sz w:val="22"/>
        </w:rPr>
        <w:t>Norma IEC 62443 — referência técnica para segurança de sistemas de controlo industrial em infraestruturas de água.</w:t>
      </w:r>
    </w:p>
    <w:p>
      <w:pPr>
        <w:pStyle w:val="ListParagraph"/>
      </w:pPr>
      <w:r>
        <w:rPr>
          <w:color w:val="374151"/>
          <w:sz w:val="22"/>
        </w:rPr>
        <w:t>ENISA Good Practices for Security of IoT — boas práticas aplicáveis a sensores e sistemas de telemetria em redes de águas residuais.</w:t>
      </w:r>
    </w:p>
    <w:p>
      <w:pPr>
        <w:pStyle w:val="Heading1"/>
      </w:pPr>
      <w:r>
        <w:rPr>
          <w:b/>
          <w:color w:val="1E3A8A"/>
          <w:sz w:val="32"/>
        </w:rPr>
        <w:t>3. Checklist de controlos OT/IT</w:t>
      </w:r>
    </w:p>
    <w:p>
      <w:r>
        <w:rPr>
          <w:color w:val="374151"/>
          <w:sz w:val="22"/>
        </w:rPr>
        <w:t>Para cada item, assinale o estado de implementação: Sim (controlo implementado), Não (não implementado), Parcial (em curso) ou N/A (não aplicável). Registe evidências e o responsável pela implementação.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Evidência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Segmentação OT/IT em ETAR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Redes OT e IT das ETAR fisicamente ou logicamente separadas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SCADA de efluentes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 SCADA com monitorização contínua de parâmetros de ef...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acessos físicos a ETAR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 físico às instalações com registo de entr...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 de configurações de PLCs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encriptados das configurações de PLCs e RTUs, testad...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patches em sistemas de telemetria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documentado de gestão de patches para sistemas de 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de parâmetros de descarga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em tempo real de parâmetros físico-químicos de...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sensores e instrumentação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Sensores e instrumentação com proteção contra adulteração fí...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Redundância de comunicações industriais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Comunicações industriais com redundância e failover automáti...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de operadores em cibersegurança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anual de cibersegurança específica para operadores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Registo de alterações a sistemas de controlo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Registo imutável de todas as alterações a configurações e pa...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em sistemas de telegestão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Autenticação multifator obrigatória para acesso remoto a sis...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de ativos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completo e atualizado de todos os ativos OT, PLCs...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operacional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que garante tratamento de águas residu...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de fornecedores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de integradores e fornecedores de sis...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vulnerabilidades em SCADA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identificação e remediação de vulnerabilidades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contra acesso remoto não autorizado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Acesso remoto a sistemas OT exclusivamente via VPN com MFA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Notificação ERSAR e 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notificação de incidentes signif...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Logging de eventos OT retido 12 meses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Logs de eventos de sistemas OT e SCADA retidos pelo período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AR-19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intrusão em ambiente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penetração anuais em ambiente OT por empresa espec...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AR-20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do protocolo de telemetria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Comunicações de telemetria com autenticação e encriptação pa...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específicos de segurança industrial</w:t>
      </w:r>
    </w:p>
    <w:p>
      <w:r>
        <w:rPr>
          <w:color w:val="374151"/>
          <w:sz w:val="22"/>
        </w:rPr>
        <w:t>Os sistemas de controlo industrial utilizados em ETAR e redes de águas residuais requerem controlos de segurança específicos, reconhecidos como estado da arte pela ENISA e pela IEC 62443:</w:t>
      </w:r>
    </w:p>
    <w:p>
      <w:pPr>
        <w:pStyle w:val="ListParagraph"/>
      </w:pPr>
      <w:r>
        <w:rPr>
          <w:color w:val="374151"/>
          <w:sz w:val="22"/>
        </w:rPr>
        <w:t>Segmentação OT/IT: implementação de zonas e condutas conforme IEC 62443-3-2, com firewalls industriais entre redes de controlo e redes corporativas.</w:t>
      </w:r>
    </w:p>
    <w:p>
      <w:pPr>
        <w:pStyle w:val="ListParagraph"/>
      </w:pPr>
      <w:r>
        <w:rPr>
          <w:color w:val="374151"/>
          <w:sz w:val="22"/>
        </w:rPr>
        <w:t>Monitorização passiva de tráfego OT: utilização de soluções de monitorização passiva que não perturbam os protocolos industriais (Modbus, DNP3, Profibus) utilizados em ETAR.</w:t>
      </w:r>
    </w:p>
    <w:p>
      <w:pPr>
        <w:pStyle w:val="ListParagraph"/>
      </w:pPr>
      <w:r>
        <w:rPr>
          <w:color w:val="374151"/>
          <w:sz w:val="22"/>
        </w:rPr>
        <w:t>Gestão segura de acesso remoto: acesso remoto de integradores e fornecedores exclusivamente via jump server com MFA, com gravação de todas as sessões.</w:t>
      </w:r>
    </w:p>
    <w:p>
      <w:pPr>
        <w:pStyle w:val="ListParagraph"/>
      </w:pPr>
      <w:r>
        <w:rPr>
          <w:color w:val="374151"/>
          <w:sz w:val="22"/>
        </w:rPr>
        <w:t>Backups de configuração offline: backups encriptados das configurações de PLCs e RTUs armazenados em suporte offline, com teste de restauro trimestral.</w:t>
      </w:r>
    </w:p>
    <w:p>
      <w:pPr>
        <w:pStyle w:val="ListParagraph"/>
      </w:pPr>
      <w:r>
        <w:rPr>
          <w:color w:val="374151"/>
          <w:sz w:val="22"/>
        </w:rPr>
        <w:t>Controlo de dispositivos removíveis: política de controlo de USB e outros dispositivos removíveis em redes OT, para prevenção de introdução de malware.</w:t>
      </w:r>
    </w:p>
    <w:p>
      <w:pPr>
        <w:pStyle w:val="ListParagraph"/>
      </w:pPr>
      <w:r>
        <w:rPr>
          <w:color w:val="374151"/>
          <w:sz w:val="22"/>
        </w:rPr>
        <w:t>Segurança de protocolo de telemetria: autenticação e encriptação das comunicações de telemetria entre sensores de campo e centro de controlo.</w:t>
      </w:r>
    </w:p>
    <w:p>
      <w:pPr>
        <w:pStyle w:val="Heading1"/>
      </w:pPr>
      <w:r>
        <w:rPr>
          <w:b/>
          <w:color w:val="1E3A8A"/>
          <w:sz w:val="32"/>
        </w:rPr>
        <w:t>5. Gestão de incidentes com impacto ambiental</w:t>
      </w:r>
    </w:p>
    <w:p>
      <w:r>
        <w:rPr>
          <w:color w:val="374151"/>
          <w:sz w:val="22"/>
        </w:rPr>
        <w:t>Em incidentes de cibersegurança no sector das águas residuais, além dos procedimentos standard de resposta a incidentes, deve ser avaliado e gerido o potencial impacto ambiental, em articulação com as autoridades ambientais competentes:</w:t>
      </w:r>
    </w:p>
    <w:p>
      <w:pPr>
        <w:pStyle w:val="ListParagraph"/>
      </w:pPr>
      <w:r>
        <w:rPr>
          <w:color w:val="374151"/>
          <w:sz w:val="22"/>
        </w:rPr>
        <w:t>Avaliação de impacto ambiental imediata: em qualquer incidente que afete sistemas de tratamento ou monitorização de descarga, avaliar imediatamente o risco de descarga não conforme.</w:t>
      </w:r>
    </w:p>
    <w:p>
      <w:pPr>
        <w:pStyle w:val="ListParagraph"/>
      </w:pPr>
      <w:r>
        <w:rPr>
          <w:color w:val="374151"/>
          <w:sz w:val="22"/>
        </w:rPr>
        <w:t>Suspensão preventiva de descargas: em caso de incerteza sobre a integridade dos parâmetros de tratamento, suspender descargas até validação laboratorial.</w:t>
      </w:r>
    </w:p>
    <w:p>
      <w:pPr>
        <w:pStyle w:val="ListParagraph"/>
      </w:pPr>
      <w:r>
        <w:rPr>
          <w:color w:val="374151"/>
          <w:sz w:val="22"/>
        </w:rPr>
        <w:t>Notificação à APA: alertar a Agência Portuguesa do Ambiente sempre que exista risco confirmado ou provável de descarga fora dos limites legais.</w:t>
      </w:r>
    </w:p>
    <w:p>
      <w:pPr>
        <w:pStyle w:val="ListParagraph"/>
      </w:pPr>
      <w:r>
        <w:rPr>
          <w:color w:val="374151"/>
          <w:sz w:val="22"/>
        </w:rPr>
        <w:t>Coordenação com IGAMAOT: em incidentes com impacto ambiental confirmado, cooperar com a inspeção ambiental e preservar evidências para investigação.</w:t>
      </w:r>
    </w:p>
    <w:p>
      <w:pPr>
        <w:pStyle w:val="ListParagraph"/>
      </w:pPr>
      <w:r>
        <w:rPr>
          <w:color w:val="374151"/>
          <w:sz w:val="22"/>
        </w:rPr>
        <w:t>Documentação de conformidade: manter registo de todas as descargas e parâmetros durante o período do incidente para demonstração de conformidade regulatória.</w:t>
      </w:r>
    </w:p>
    <w:p>
      <w:pPr>
        <w:pStyle w:val="Heading1"/>
      </w:pPr>
      <w:r>
        <w:rPr>
          <w:b/>
          <w:color w:val="1E3A8A"/>
          <w:sz w:val="32"/>
        </w:rPr>
        <w:t>6. Avaliação de maturidade</w:t>
      </w:r>
    </w:p>
    <w:p>
      <w:r>
        <w:rPr>
          <w:color w:val="374151"/>
          <w:sz w:val="22"/>
        </w:rPr>
        <w:t>Utilize a seguinte escala para avaliar o nível de maturidade dos controlos de cibersegurança OT da organização: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Descrição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1 - Inicial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Controlos ad hoc, sem formalização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Sem políticas documentadas, resposta reativa a incidentes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2 - Definido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Políticas documentadas, implementação parcial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Políticas aprovadas, alguns controlos técnicos implementados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3 - Gerido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Controlos implementados e monitorizados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Monitorização contínua, gestão de incidentes operacional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4 - Optimizado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Melhoria contínua, testes regulares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Testes de penetração OT, métricas de segurança, formação avançada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Plano de remediação</w:t>
      </w:r>
    </w:p>
    <w:p>
      <w:r>
        <w:rPr>
          <w:color w:val="374151"/>
          <w:sz w:val="22"/>
        </w:rPr>
        <w:t>Para cada controlo identificado como "Não" ou "Parcial", deve ser criado um plano de remediação com prazo, responsável e recursos necessários. Os controlos obrigatórios ao abrigo do Art. 27.º do DL 125/2025 devem ser priorizados e implementados no prazo máximo de 90 dias.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AR-05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Aprovação e revisão</w:t>
      </w:r>
    </w:p>
    <w:p>
      <w:r>
        <w:rPr>
          <w:color w:val="374151"/>
          <w:sz w:val="22"/>
        </w:rPr>
        <w:t>A presente checklist deve ser revista com periodicidade mínima anual e após qualquer incidente significativo, alteração ao quadro regulatório ou modificação relevante ao ambiente tecnológico da organização.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operações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ambiental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