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Checklist de conformidade NIS2 — Sector bancário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A presente checklist destina-se a apoiar as instituições de crédito e outros prestadores de serviços financeiros na avaliação do seu nível de conformidade com o Decreto-Lei n.º 125/2025 (NIS2) e o Regulamento (UE) 2022/2554 (DORA — Digital Operational Resilience Act), que entrou em vigor a 17 de janeiro de 2025.</w:t>
      </w:r>
    </w:p>
    <w:p>
      <w:r>
        <w:rPr>
          <w:color w:val="374151"/>
          <w:sz w:val="22"/>
        </w:rPr>
        <w:t>O sector bancário é classificado como sector de alta criticidade no Anexo I do DL 125/2025. A autoridade supervisora sectorial é o Banco de Portugal, que supervisiona a conformidade com o DL 125/2025 e com o DORA para as instituições sob a sua supervisão, em articulação com o CNCS para matérias técnicas de cibersegurança.</w:t>
      </w:r>
    </w:p>
    <w:p>
      <w:r>
        <w:rPr>
          <w:color w:val="374151"/>
          <w:sz w:val="22"/>
        </w:rPr>
        <w:t>Nota importante: o DORA (Regulamento UE 2022/2554) prevalece sobre o DL 125/2025 para as entidades financeiras abrangidas, pelo que a checklist integra os requisitos de ambos os diplomas, evitando duplicação e assegurando conformidade simultânea.</w:t>
      </w:r>
    </w:p>
    <w:p>
      <w:pPr>
        <w:pStyle w:val="Heading1"/>
      </w:pPr>
      <w:r>
        <w:rPr>
          <w:b/>
          <w:color w:val="1E3A8A"/>
          <w:sz w:val="32"/>
        </w:rPr>
        <w:t>2. Enquadramento regulatório</w:t>
      </w:r>
    </w:p>
    <w:p>
      <w:r>
        <w:rPr>
          <w:color w:val="374151"/>
          <w:sz w:val="22"/>
        </w:rPr>
        <w:t>As entidades do sector bancário estão sujeitas a um conjunto extenso de requisitos regulatórios de cibersegurança e resiliência operacional digital:</w:t>
      </w:r>
    </w:p>
    <w:p>
      <w:pPr>
        <w:pStyle w:val="ListParagraph"/>
      </w:pPr>
      <w:r>
        <w:rPr>
          <w:color w:val="374151"/>
          <w:sz w:val="22"/>
        </w:rPr>
        <w:t>Regulamento DORA (UE) 2022/2554 — requisitos de resiliência operacional digital: gestão de risco TIC, gestão de incidentes TIC, testes de resiliência, risco de terceiros e partilha de informação.</w:t>
      </w:r>
    </w:p>
    <w:p>
      <w:pPr>
        <w:pStyle w:val="ListParagraph"/>
      </w:pPr>
      <w:r>
        <w:rPr>
          <w:color w:val="374151"/>
          <w:sz w:val="22"/>
        </w:rPr>
        <w:t>Diretiva PSD2 e Regulamento Delegado (UE) 2018/389 — autenticação forte de cliente (SCA) para pagamentos eletrónicos.</w:t>
      </w:r>
    </w:p>
    <w:p>
      <w:pPr>
        <w:pStyle w:val="ListParagraph"/>
      </w:pPr>
      <w:r>
        <w:rPr>
          <w:color w:val="374151"/>
          <w:sz w:val="22"/>
        </w:rPr>
        <w:t>DL 125/2025, Art. 27.º — medidas de gestão do risco de cibersegurança para entidades essenciais do sector financeiro.</w:t>
      </w:r>
    </w:p>
    <w:p>
      <w:pPr>
        <w:pStyle w:val="ListParagraph"/>
      </w:pPr>
      <w:r>
        <w:rPr>
          <w:color w:val="374151"/>
          <w:sz w:val="22"/>
        </w:rPr>
        <w:t>DL 125/2025, Art. 34.º — notificação de incidentes significativos ao Banco de Portugal e CNCS.</w:t>
      </w:r>
    </w:p>
    <w:p>
      <w:pPr>
        <w:pStyle w:val="ListParagraph"/>
      </w:pPr>
      <w:r>
        <w:rPr>
          <w:color w:val="374151"/>
          <w:sz w:val="22"/>
        </w:rPr>
        <w:t>PCI DSS v4.0 — proteção de dados de cartões de pagamento, obrigatório para entidades que processam dados de cartões.</w:t>
      </w:r>
    </w:p>
    <w:p>
      <w:pPr>
        <w:pStyle w:val="ListParagraph"/>
      </w:pPr>
      <w:r>
        <w:rPr>
          <w:color w:val="374151"/>
          <w:sz w:val="22"/>
        </w:rPr>
        <w:t>Orientações EBA/GL/2019/04 — gestão de risco TIC e segurança para instituições de crédito.</w:t>
      </w:r>
    </w:p>
    <w:p>
      <w:pPr>
        <w:pStyle w:val="ListParagraph"/>
      </w:pPr>
      <w:r>
        <w:rPr>
          <w:color w:val="374151"/>
          <w:sz w:val="22"/>
        </w:rPr>
        <w:t>Controlos de segurança SWIFT — Customer Security Programme (CSP) com obrigatoriedade de autoatestação anual.</w:t>
      </w:r>
    </w:p>
    <w:p>
      <w:pPr>
        <w:pStyle w:val="Heading1"/>
      </w:pPr>
      <w:r>
        <w:rPr>
          <w:b/>
          <w:color w:val="1E3A8A"/>
          <w:sz w:val="32"/>
        </w:rPr>
        <w:t>3. Checklist de controlos de segurança</w:t>
      </w:r>
    </w:p>
    <w:p>
      <w:r>
        <w:rPr>
          <w:color w:val="374151"/>
          <w:sz w:val="22"/>
        </w:rPr>
        <w:t>Para cada controlo, indique o estado de implementação e a referência à evidência disponível. Controlos marcados com (*) são obrigatórios ao abrigo do DORA ou do DL 125/2025.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Controlo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Evidência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Conformidade PCI DSS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Conformidade com PCI DSS v4.0 para proteção de dados de cart...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Autenticação forte PSD2/SCA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Autenticação forte de cliente (SCA) implementada conforme PS...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Monitorização de transações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 antifraude com monitorização em tempo real de transa...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B-04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DLP dados financeiros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Data Loss Prevention para dados financeiros e pessoais de cl...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B-05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homebanking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Plataforma de homebanking com testes de segurança regulares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B-06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de ATMs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ATMs com proteção anti-skimming, software atualizado e monit...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B-07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acessos privilegiados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PAM (Privileged Access Management) para acessos a sistemas c...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B-08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Conformidade DORA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Alinhamento com Regulamento DORA (Resiliência Operacional Di...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B-09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Testes de resiliência operacional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Testes TLPT (Threat-Led Penetration Testing) anuais conforme...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B-10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anti-fraude colaboradores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g)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regular sobre phishing, engenharia social e fraude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B-11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mobile banking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App mobile banking com proteção contra engenharia reversa e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B-12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Monitorização SWIFT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Monitorização de mensagens SWIFT com controlos de integridad...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B-13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chaves criptográficas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ciclo de vida de chaves criptográficas com HSM...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B-14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API Open Banking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APIs de Open Banking com autenticação OAuth 2.0, rate limiti...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B-15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recuperação core banking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RTO/RPO definidos e testados para sistema core banking...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B-16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segurança fintechs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segurança de parceiros fintech e integrações de...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B-17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Notificação Banco de Portugal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34.º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Procedimento de notificação de incidentes ao Banco de Portug...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B-18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contra ATM jackpotting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Controlos específicos contra ataques de jackpotting em rede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B-19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RTGS/pagamentos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Sistemas de pagamento de grande valor (RTGS/TARGET2) com con...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B-20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risco de terceiros DORA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Framework de gestão de risco de terceiros TIC conforme Regul...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Requisitos específicos DORA</w:t>
      </w:r>
    </w:p>
    <w:p>
      <w:r>
        <w:rPr>
          <w:color w:val="374151"/>
          <w:sz w:val="22"/>
        </w:rPr>
        <w:t>O Regulamento DORA introduz requisitos específicos de resiliência operacional digital para o sector financeiro que complementam e, em alguns casos, vão além dos requisitos do DL 125/2025:</w:t>
      </w:r>
    </w:p>
    <w:p>
      <w:pPr>
        <w:pStyle w:val="ListParagraph"/>
      </w:pPr>
      <w:r>
        <w:rPr>
          <w:color w:val="374151"/>
          <w:sz w:val="22"/>
        </w:rPr>
        <w:t>Gestão de risco TIC (Art. 5.º a 14.º DORA): framework de gestão de risco TIC completa, com políticas documentadas, aprovadas pelo órgão de gestão e revistas anualmente.</w:t>
      </w:r>
    </w:p>
    <w:p>
      <w:pPr>
        <w:pStyle w:val="ListParagraph"/>
      </w:pPr>
      <w:r>
        <w:rPr>
          <w:color w:val="374151"/>
          <w:sz w:val="22"/>
        </w:rPr>
        <w:t>Classificação e reporte de incidentes TIC (Art. 17.º a 23.º DORA): processo de classificação de incidentes TIC com reporte obrigatório de incidentes graves às autoridades competentes.</w:t>
      </w:r>
    </w:p>
    <w:p>
      <w:pPr>
        <w:pStyle w:val="ListParagraph"/>
      </w:pPr>
      <w:r>
        <w:rPr>
          <w:color w:val="374151"/>
          <w:sz w:val="22"/>
        </w:rPr>
        <w:t>Testes de resiliência operacional digital (Art. 24.º a 27.º DORA): testes de penetração baseados em ameaças (TLPT) para entidades significativas, com periodicidade mínima de 3 anos.</w:t>
      </w:r>
    </w:p>
    <w:p>
      <w:pPr>
        <w:pStyle w:val="ListParagraph"/>
      </w:pPr>
      <w:r>
        <w:rPr>
          <w:color w:val="374151"/>
          <w:sz w:val="22"/>
        </w:rPr>
        <w:t>Gestão de risco de terceiros TIC (Art. 28.º a 44.º DORA): framework completa para gestão de fornecedores críticos de TIC, incluindo registo, avaliação e planos de saída.</w:t>
      </w:r>
    </w:p>
    <w:p>
      <w:pPr>
        <w:pStyle w:val="ListParagraph"/>
      </w:pPr>
      <w:r>
        <w:rPr>
          <w:color w:val="374151"/>
          <w:sz w:val="22"/>
        </w:rPr>
        <w:t>Partilha de informação (Art. 45.º DORA): participação em mecanismos de partilha de informação sobre ciberameaças com outras entidades financeiras.</w:t>
      </w:r>
    </w:p>
    <w:p>
      <w:pPr>
        <w:pStyle w:val="Heading1"/>
      </w:pPr>
      <w:r>
        <w:rPr>
          <w:b/>
          <w:color w:val="1E3A8A"/>
          <w:sz w:val="32"/>
        </w:rPr>
        <w:t>5. Segurança de canais digitais</w:t>
      </w:r>
    </w:p>
    <w:p>
      <w:r>
        <w:rPr>
          <w:color w:val="374151"/>
          <w:sz w:val="22"/>
        </w:rPr>
        <w:t>A segurança dos canais digitais de banca (homebanking, mobile banking, APIs de Open Banking) é crítica e exige controlos específicos além dos requisitos gerais de cibersegurança:</w:t>
      </w:r>
    </w:p>
    <w:p>
      <w:pPr>
        <w:pStyle w:val="ListParagraph"/>
      </w:pPr>
      <w:r>
        <w:rPr>
          <w:color w:val="374151"/>
          <w:sz w:val="22"/>
        </w:rPr>
        <w:t>Homebanking web: proteção via WAF (Web Application Firewall), autenticação forte PSD2/SCA, TLS 1.3, Content Security Policy e monitorização de sessões.</w:t>
      </w:r>
    </w:p>
    <w:p>
      <w:pPr>
        <w:pStyle w:val="ListParagraph"/>
      </w:pPr>
      <w:r>
        <w:rPr>
          <w:color w:val="374151"/>
          <w:sz w:val="22"/>
        </w:rPr>
        <w:t>Mobile banking: proteção contra tampering e repackaging, certificado pinning, deteção de root/jailbreak, ofuscação de código e armazenamento seguro de credenciais.</w:t>
      </w:r>
    </w:p>
    <w:p>
      <w:pPr>
        <w:pStyle w:val="ListParagraph"/>
      </w:pPr>
      <w:r>
        <w:rPr>
          <w:color w:val="374151"/>
          <w:sz w:val="22"/>
        </w:rPr>
        <w:t>APIs Open Banking: autenticação OAuth 2.0 com PKCE, rate limiting, logging completo de todas as chamadas, validação de certificados qualificados eIDAS.</w:t>
      </w:r>
    </w:p>
    <w:p>
      <w:pPr>
        <w:pStyle w:val="ListParagraph"/>
      </w:pPr>
      <w:r>
        <w:rPr>
          <w:color w:val="374151"/>
          <w:sz w:val="22"/>
        </w:rPr>
        <w:t>ATMs: atualização regular de software, controlo de acesso físico, monitorização de câmaras, deteção de skimmers e proteção anti-jackpotting.</w:t>
      </w:r>
    </w:p>
    <w:p>
      <w:pPr>
        <w:pStyle w:val="Heading1"/>
      </w:pPr>
      <w:r>
        <w:rPr>
          <w:b/>
          <w:color w:val="1E3A8A"/>
          <w:sz w:val="32"/>
        </w:rPr>
        <w:t>6. Avaliação de maturidade DORA</w:t>
      </w:r>
    </w:p>
    <w:p>
      <w:r>
        <w:rPr>
          <w:color w:val="374151"/>
          <w:sz w:val="22"/>
        </w:rPr>
        <w:t>Avaliação do nível de maturidade nos cinco pilares do DORA: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Pilar DORA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 atual (1-4)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Próximo passo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Gestão de risco TIC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[Acção a implementar]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Gestão e reporte de incidentes TIC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[Acção a implementar]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Testes de resiliência operacional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[Acção a implementar]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Gestão de risco de terceiros TIC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[Acção a implementar]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Partilha de informação sobre ameaças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[Acção a implementar]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Plano de remediação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 controlo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Lacuna identificada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Acção corretiva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B-01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B-02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B-03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B-04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B-05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8. Aprovação e revisão</w:t>
      </w:r>
    </w:p>
    <w:p>
      <w:r>
        <w:rPr>
          <w:color w:val="374151"/>
          <w:sz w:val="22"/>
        </w:rPr>
        <w:t>A presente checklist é revista anualmente e após qualquer incidente significativo, atualização do Banco de Portugal, do DORA ou do DL 125/2025.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Chief Risk Officer (CRO)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conformidade DORA/NIS2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administração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