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indústria transformadora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da indústria transformadora — incluindo fabricantes de produtos industriais, empresas de produção automatizada, operadores de robótica industrial e gestores de cadeias de fornecimento de componentes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 indústria transformadora é classificado como sector de alta criticidade no Anexo I do DL 125/2025. A autoridade supervisora de cibersegurança é o Centro Nacional de Cibersegurança (CNCS), que coordena com as autoridades sectoriais relevantes em função da tipologia de produto fabricado.</w:t>
      </w:r>
    </w:p>
    <w:p>
      <w:r>
        <w:rPr>
          <w:color w:val="374151"/>
          <w:sz w:val="22"/>
        </w:rPr>
        <w:t>A checklist cobre os sistemas OT/IoT industriais, os sistemas SCADA/MES/ERP de produção, os sistemas de robótica, a segurança da supply chain de componentes e os requisitos transversais do Art. 27.º do DL 125/2025 e das normas IEC 62443.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da indústria transformadora classificadas como essenciais ou importantes devem articular os requisitos do DL 125/2025 com as normas técnicas de segurança industrial: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IEC 62443 — Segurança de sistemas de automação e controlo industrial: referência técnica para arquitetura de segurança OT, segmentação de redes e gestão de riscos em ICS.</w:t>
      </w:r>
    </w:p>
    <w:p>
      <w:pPr>
        <w:pStyle w:val="ListParagraph"/>
      </w:pPr>
      <w:r>
        <w:rPr>
          <w:color w:val="374151"/>
          <w:sz w:val="22"/>
        </w:rPr>
        <w:t>ISO/IEC 27001:2022 — Gestão da segurança da informação: referência para a gestão de segurança de informação, incluindo propriedade intelectual industrial.</w:t>
      </w:r>
    </w:p>
    <w:p>
      <w:pPr>
        <w:pStyle w:val="ListParagraph"/>
      </w:pPr>
      <w:r>
        <w:rPr>
          <w:color w:val="374151"/>
          <w:sz w:val="22"/>
        </w:rPr>
        <w:t>Regulamento (UE) 2019/881 (Cybersecurity Act) — Certificação de cibersegurança de produtos e sistemas de TIC, relevante para componentes e sistemas de automação.</w:t>
      </w:r>
    </w:p>
    <w:p>
      <w:pPr>
        <w:pStyle w:val="Heading1"/>
      </w:pPr>
      <w:r>
        <w:rPr>
          <w:b/>
          <w:color w:val="1E3A8A"/>
          <w:sz w:val="32"/>
        </w:rPr>
        <w:t>3. Checklist de controlos OT/IT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sistemas OT/IoT industrial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OT e IoT de fábrica com controlos de segurança, mon...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propriedade intelectual industrial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Segredos de fabrico, designs e processos de produção protegi...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de redes IT/OT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Separação física ou lógica entre redes de fábrica OT e redes...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sistemas SCADA/MES/ERP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SCADA, MES e ERP de produção com autenticação forte, control...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patches em sistemas ICS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formal de atualização de firmware e software em sis...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sistemas de robótica industrial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Controladores de robótica com segmentação de rede, autentica...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da supply chain de componentes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Verificação de integridade de componentes eletrónicos e firm...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em cibersegurança para pessoal de fábrica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cibersegurança para operadores de linha, 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físico e lógico a fábrica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para acesso a sistemas de controlo e registo de acessos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de configuração de sistemas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de configurações de SCADA, PLCs e robótica...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anomalias em redes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deteção de anomalias em redes OT com alertas em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de produção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para manutenção de operações mínimas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de cib...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OT/IoT industriais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atualizado e completo de todos os sistemas OT, Io...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IT-15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fornecedores de sistemas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 de equipamentos, robó...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de ambientes OT industriais</w:t>
      </w:r>
    </w:p>
    <w:p>
      <w:r>
        <w:rPr>
          <w:color w:val="374151"/>
          <w:sz w:val="22"/>
        </w:rPr>
        <w:t>Os ambientes de fábrica com sistemas OT e robótica requerem controlos de cibersegurança específicos que equilibram a segurança com os requisitos de disponibilidade e continuidade de produção:</w:t>
      </w:r>
    </w:p>
    <w:p>
      <w:pPr>
        <w:pStyle w:val="ListParagraph"/>
      </w:pPr>
      <w:r>
        <w:rPr>
          <w:color w:val="374151"/>
          <w:sz w:val="22"/>
        </w:rPr>
        <w:t>Arquitetura de segurança em profundidade (defense-in-depth): implementação de múltiplas camadas de controlo em conformidade com a IEC 62443, incluindo zonas e condutos de comunicação com controlo estrito.</w:t>
      </w:r>
    </w:p>
    <w:p>
      <w:pPr>
        <w:pStyle w:val="ListParagraph"/>
      </w:pPr>
      <w:r>
        <w:rPr>
          <w:color w:val="374151"/>
          <w:sz w:val="22"/>
        </w:rPr>
        <w:t>Gestão segura de patches ICS: processo formal com avaliação de impacto, testes em ambiente de homologação e janelas de manutenção planeadas com os fabricantes de equipamentos OT.</w:t>
      </w:r>
    </w:p>
    <w:p>
      <w:pPr>
        <w:pStyle w:val="ListParagraph"/>
      </w:pPr>
      <w:r>
        <w:rPr>
          <w:color w:val="374151"/>
          <w:sz w:val="22"/>
        </w:rPr>
        <w:t>Segurança de robótica: os controladores de robótica devem ter firmware verificado, redes dedicadas separadas e monitorização de integridade de configuração com alertas de desvio.</w:t>
      </w:r>
    </w:p>
    <w:p>
      <w:pPr>
        <w:pStyle w:val="ListParagraph"/>
      </w:pPr>
      <w:r>
        <w:rPr>
          <w:color w:val="374151"/>
          <w:sz w:val="22"/>
        </w:rPr>
        <w:t>Supply chain de componentes: verificação de autenticidade e integridade de componentes eletrónicos e firmware antes de integração, com registo de origem e cadeia de custódia.</w:t>
      </w:r>
    </w:p>
    <w:p>
      <w:pPr>
        <w:pStyle w:val="ListParagraph"/>
      </w:pPr>
      <w:r>
        <w:rPr>
          <w:color w:val="374151"/>
          <w:sz w:val="22"/>
        </w:rPr>
        <w:t>Deteção de anomalias OT: sistemas passivos de monitorização de tráfego em redes OT para identificação de comportamentos anómalos sem impacto na disponibilidade dos sistemas de controlo.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no sector da indústria transformadora, devem ser seguidos os procedimentos do Art. 34.º do DL 125/2025 e comunicado às autoridades competentes: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 (alerta precoce). Principal autoridade supervisora do sector.</w:t>
      </w:r>
    </w:p>
    <w:p>
      <w:pPr>
        <w:pStyle w:val="ListParagraph"/>
      </w:pPr>
      <w:r>
        <w:rPr>
          <w:color w:val="374151"/>
          <w:sz w:val="22"/>
        </w:rPr>
        <w:t>PJ — Polícia Judiciária (UNC3T): contacto em caso de suspeita de ataque deliberado, sabotagem industrial, espionagem ou crime informático.</w:t>
      </w:r>
    </w:p>
    <w:p>
      <w:pPr>
        <w:pStyle w:val="ListParagraph"/>
      </w:pPr>
      <w:r>
        <w:rPr>
          <w:color w:val="374151"/>
          <w:sz w:val="22"/>
        </w:rPr>
        <w:t>SIS — Serviço de Informações de Segurança: contacto se houver indícios de espionagem industrial de origem estrangeira ou actor patrocinado por Estado.</w:t>
      </w:r>
    </w:p>
    <w:p>
      <w:pPr>
        <w:pStyle w:val="ListParagraph"/>
      </w:pPr>
      <w:r>
        <w:rPr>
          <w:color w:val="374151"/>
          <w:sz w:val="22"/>
        </w:rPr>
        <w:t>ASAE — Autoridade de Segurança Alimentar e Económica: notificação adicional se a empresa produzir bens de consumo e o incidente puder afetar a segurança do produto.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 Controlos de segmentação IT/OT e gestão de patches ICS têm prioridade máxima.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de cibersegurança, alteração significativa à arquitetura OT ou mudança relevante no quadro regulatório aplicável à indústria transformadora.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produção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