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 infraestrutura digital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os operadores de infraestrutura digital — incluindo fornecedores de serviços DNS, operadores de IXP (Internet Exchange Points), fornecedores de serviços de cloud, operadores de CDN e operadores de datacenters — na avaliação do seu nível de conformidade com o Decreto-Lei n.º 125/2025, que transpõe a Diretiva NIS2 para o ordenamento jurídico português.</w:t>
      </w:r>
    </w:p>
    <w:p>
      <w:r>
        <w:rPr>
          <w:color w:val="374151"/>
          <w:sz w:val="22"/>
        </w:rPr>
        <w:t>O sector da infraestrutura digital é classificado no Anexo I do DL 125/2025. A autoridade supervisora é o Centro Nacional de Cibersegurança (CNCS). As entidades essenciais estão sujeitas a coimas até 10 000 000 EUR ou 2% do volume de negócios anual global, e as entidades importantes até 7 000 000 EUR ou 1,4% do volume de negócios.</w:t>
      </w:r>
    </w:p>
    <w:p>
      <w:r>
        <w:rPr>
          <w:color w:val="374151"/>
          <w:sz w:val="22"/>
        </w:rPr>
        <w:t>A checklist integra os requisitos do DL 125/2025 com as medidas de implementação técnica estabelecidas no Regulamento de Execução (UE) 2024/2690, que define medidas específicas para fornecedores de serviços DNS, registos de nomes de domínio de TLD, fornecedores de serviços de cloud, de datacenters, de CDN e de IXP.</w:t>
      </w:r>
    </w:p>
    <w:p>
      <w:r>
        <w:rPr>
          <w:color w:val="374151"/>
          <w:sz w:val="22"/>
        </w:rPr>
        <w:t>Autoridade supervisora: CNCS — Centro Nacional de Cibersegurança, responsável pela supervisão de cibersegurança de todas as entidades do sector da infraestrutura digital em Portugal.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As entidades do sector da infraestrutura digital estão sujeitas a um conjunto específico de requisitos regulatórios de cibersegurança:</w:t>
      </w:r>
    </w:p>
    <w:p>
      <w:pPr>
        <w:pStyle w:val="ListParagraph"/>
      </w:pPr>
      <w:r>
        <w:rPr>
          <w:color w:val="374151"/>
          <w:sz w:val="22"/>
        </w:rPr>
        <w:t>DL 125/2025, Art. 27.º — Medidas de gestão do risco de cibersegurança: políticas, continuidade, segurança da cadeia de fornecimento, controlos de acesso, criptografia, gestão de incidentes e monitorização.</w:t>
      </w:r>
    </w:p>
    <w:p>
      <w:pPr>
        <w:pStyle w:val="ListParagraph"/>
      </w:pPr>
      <w:r>
        <w:rPr>
          <w:color w:val="374151"/>
          <w:sz w:val="22"/>
        </w:rPr>
        <w:t>DL 125/2025, Art. 34.º — Notificação de incidentes significativos ao CNCS: alerta em 24 horas, notificação completa em 72 horas, relatório final em 30 dias.</w:t>
      </w:r>
    </w:p>
    <w:p>
      <w:pPr>
        <w:pStyle w:val="ListParagraph"/>
      </w:pPr>
      <w:r>
        <w:rPr>
          <w:color w:val="374151"/>
          <w:sz w:val="22"/>
        </w:rPr>
        <w:t>Regulamento de Execução (UE) 2024/2690 — medidas de implementação técnica específicas para fornecedores de serviços DNS, cloud, CDN, datacenters e IXP.</w:t>
      </w:r>
    </w:p>
    <w:p>
      <w:pPr>
        <w:pStyle w:val="ListParagraph"/>
      </w:pPr>
      <w:r>
        <w:rPr>
          <w:color w:val="374151"/>
          <w:sz w:val="22"/>
        </w:rPr>
        <w:t>ENISA NIS Investments 2023 — boas práticas e benchmarks de investimento em cibersegurança para infraestrutura digital.</w:t>
      </w:r>
    </w:p>
    <w:p>
      <w:pPr>
        <w:pStyle w:val="ListParagraph"/>
      </w:pPr>
      <w:r>
        <w:rPr>
          <w:color w:val="374151"/>
          <w:sz w:val="22"/>
        </w:rPr>
        <w:t>RFC 8210 (RPKI) e RFC 7132 — padrões técnicos para segurança de roteamento BGP com validação de origem de rota.</w:t>
      </w:r>
    </w:p>
    <w:p>
      <w:pPr>
        <w:pStyle w:val="Heading1"/>
      </w:pPr>
      <w:r>
        <w:rPr>
          <w:b/>
          <w:color w:val="1E3A8A"/>
          <w:sz w:val="32"/>
        </w:rPr>
        <w:t>3. Checklist de controlos de segurança</w:t>
      </w:r>
    </w:p>
    <w:p>
      <w:r>
        <w:rPr>
          <w:color w:val="374151"/>
          <w:sz w:val="22"/>
        </w:rPr>
        <w:t>Para cada item, assinale o estado de implementação: Sim (controlo implementado), Não (não implementado), Parcial (em curso) ou N/A (não aplicável). Registe evidências e o responsável pela implementação.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Evidência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infraestrutura DNS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Servidores DNS com proteção contra ataques, redundância e mo...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Mitigação de ataques DDoS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Capacidade de mitigação DDoS com sistemas anti-DDoS, scrubbi...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BGP com RPKI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Implementação de RPKI (Resource Public Key Infrastructure) p...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Redundância de datacenter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Datacenters com redundância geográfica, alimentação elétrica...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de tráfego de rede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Monitorização contínua de tráfego de rede com deteção de ano...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do ciclo de vida de certificados TLS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e renovação automática de certificados TLS com al...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pontos de troca internet (IXP)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Internet Exchange Points com controlos de segurança, filtrag...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Segmentação de redes de clientes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Separação rigorosa das redes de diferentes clientes com cont...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Encriptação de dados em trânsito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e)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Dados em trânsito encriptados com TLS 1.3 ou superior em tod...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com EU 2024/2690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28.º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Alinhamento com as medidas de implementação técnica do Regul...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em sistemas de gestão de rede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Autenticação multifator obrigatória para acesso a sistemas 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vulnerabilidades em infraestrutura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identificação, priorização e remediação de vulne...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de ativos de rede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completo e atualizado de todos os ativos de rede,...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de serviço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com RTO e RPO definidos e testados anu...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da cadeia de fornecimento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de fornecedores de hardware e softwar...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Logging e retenção de eventos de rede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Logs de eventos de rede e segurança retidos pelo período mín...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penetração em infraestrutura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Testes de penetração anuais em infraestrutura crítica por em...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Notificação ao 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notificação de incidentes signif...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ID-19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contra comprometimento de hardware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Controlos para deteção de hardware comprometido na cadeia de...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ID-20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Capacidade de resposta a incidentes 24/7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Equipa de resposta a incidentes disponível 24 horas por dia,...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Requisitos específicos do Regulamento EU 2024/2690</w:t>
      </w:r>
    </w:p>
    <w:p>
      <w:r>
        <w:rPr>
          <w:color w:val="374151"/>
          <w:sz w:val="22"/>
        </w:rPr>
        <w:t>O Regulamento de Execução (UE) 2024/2690 estabelece medidas de implementação técnica específicas para os diferentes tipos de entidades do sector da infraestrutura digital:</w:t>
      </w:r>
    </w:p>
    <w:p>
      <w:pPr>
        <w:pStyle w:val="ListParagraph"/>
      </w:pPr>
      <w:r>
        <w:rPr>
          <w:color w:val="374151"/>
          <w:sz w:val="22"/>
        </w:rPr>
        <w:t>Fornecedores de serviços DNS: implementação de DNSSEC, monitorização de zonas DNS, redundância geográfica de servidores autoritativos e plano de resposta a incidentes DNS específico.</w:t>
      </w:r>
    </w:p>
    <w:p>
      <w:pPr>
        <w:pStyle w:val="ListParagraph"/>
      </w:pPr>
      <w:r>
        <w:rPr>
          <w:color w:val="374151"/>
          <w:sz w:val="22"/>
        </w:rPr>
        <w:t>Operadores de IXP: segregação de tráfego entre membros, monitorização de peering, controlos de acesso físico e lógico às instalações e equipamentos de switching.</w:t>
      </w:r>
    </w:p>
    <w:p>
      <w:pPr>
        <w:pStyle w:val="ListParagraph"/>
      </w:pPr>
      <w:r>
        <w:rPr>
          <w:color w:val="374151"/>
          <w:sz w:val="22"/>
        </w:rPr>
        <w:t>Fornecedores de cloud: isolamento de ambientes multi-tenant, gestão de identidades com privileged access management, encriptação de dados em repouso e em trânsito e logs de auditoria.</w:t>
      </w:r>
    </w:p>
    <w:p>
      <w:pPr>
        <w:pStyle w:val="ListParagraph"/>
      </w:pPr>
      <w:r>
        <w:rPr>
          <w:color w:val="374151"/>
          <w:sz w:val="22"/>
        </w:rPr>
        <w:t>Operadores de datacenter: segurança física com controlo de acesso por biometria, monitorização de ambiente (temperatura, humidade, energia), planos de evacuação e redundância de energia.</w:t>
      </w:r>
    </w:p>
    <w:p>
      <w:pPr>
        <w:pStyle w:val="ListParagraph"/>
      </w:pPr>
      <w:r>
        <w:rPr>
          <w:color w:val="374151"/>
          <w:sz w:val="22"/>
        </w:rPr>
        <w:t>Fornecedores de CDN: integridade de conteúdo com subresource integrity (SRI), monitorização de injeção de conteúdo malicioso e mecanismos de purge de emergência.</w:t>
      </w:r>
    </w:p>
    <w:p>
      <w:pPr>
        <w:pStyle w:val="Heading1"/>
      </w:pPr>
      <w:r>
        <w:rPr>
          <w:b/>
          <w:color w:val="1E3A8A"/>
          <w:sz w:val="32"/>
        </w:rPr>
        <w:t>5. Segurança de roteamento e DNS</w:t>
      </w:r>
    </w:p>
    <w:p>
      <w:r>
        <w:rPr>
          <w:color w:val="374151"/>
          <w:sz w:val="22"/>
        </w:rPr>
        <w:t>A segurança do roteamento IP e dos serviços DNS é fundamental para a integridade da infraestrutura digital. Os seguintes controlos são considerados essenciais para operadores de rede e fornecedores de DNS:</w:t>
      </w:r>
    </w:p>
    <w:p>
      <w:pPr>
        <w:pStyle w:val="ListParagraph"/>
      </w:pPr>
      <w:r>
        <w:rPr>
          <w:color w:val="374151"/>
          <w:sz w:val="22"/>
        </w:rPr>
        <w:t>RPKI (Resource Public Key Infrastructure): implementação de ROA (Route Origin Authorization) para todos os prefixos anunciados e validação de anúncios BGP recebidos com RPKI.</w:t>
      </w:r>
    </w:p>
    <w:p>
      <w:pPr>
        <w:pStyle w:val="ListParagraph"/>
      </w:pPr>
      <w:r>
        <w:rPr>
          <w:color w:val="374151"/>
          <w:sz w:val="22"/>
        </w:rPr>
        <w:t>DNSSEC: assinatura criptográfica de zonas DNS para prevenir cache poisoning e ataques de man-in-the-middle a resoluções DNS.</w:t>
      </w:r>
    </w:p>
    <w:p>
      <w:pPr>
        <w:pStyle w:val="ListParagraph"/>
      </w:pPr>
      <w:r>
        <w:rPr>
          <w:color w:val="374151"/>
          <w:sz w:val="22"/>
        </w:rPr>
        <w:t>Anycast DNS: distribuição de servidores DNS via Anycast para resiliência a ataques DDoS e failover automático em caso de falha de nó.</w:t>
      </w:r>
    </w:p>
    <w:p>
      <w:pPr>
        <w:pStyle w:val="ListParagraph"/>
      </w:pPr>
      <w:r>
        <w:rPr>
          <w:color w:val="374151"/>
          <w:sz w:val="22"/>
        </w:rPr>
        <w:t>Monitorização de BGP: utilização de ferramentas de monitorização de roteamento (BGPmon, RIPE RIS) para deteção precoce de hijacking e route leaks.</w:t>
      </w:r>
    </w:p>
    <w:p>
      <w:pPr>
        <w:pStyle w:val="ListParagraph"/>
      </w:pPr>
      <w:r>
        <w:rPr>
          <w:color w:val="374151"/>
          <w:sz w:val="22"/>
        </w:rPr>
        <w:t>Filtragem de prefixos: implementação de filtros de prefixos e IRR (Internet Routing Registry) para prevenção de route leaks com parceiros de peering.</w:t>
      </w:r>
    </w:p>
    <w:p>
      <w:pPr>
        <w:pStyle w:val="Heading1"/>
      </w:pPr>
      <w:r>
        <w:rPr>
          <w:b/>
          <w:color w:val="1E3A8A"/>
          <w:sz w:val="32"/>
        </w:rPr>
        <w:t>6. Avaliação de maturidade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Nível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Descrição</w:t>
            </w:r>
          </w:p>
        </w:tc>
        <w:tc>
          <w:tcPr>
            <w:tcW w:type="dxa" w:w="3135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Critérios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1 - Inicial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Controlos ad hoc, sem formalização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Sem políticas documentadas, resposta reativa a incidentes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2 - Definido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Políticas documentadas, implementação parcial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Políticas aprovadas, alguns controlos técnicos implementados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3 - Gerido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Controlos implementados e monitorizados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Monitorização 24/7, gestão de incidentes operacional, RPKI implementado</w:t>
            </w:r>
          </w:p>
        </w:tc>
      </w:tr>
      <w:tr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4 - Optimizado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Melhoria contínua, testes regulares</w:t>
            </w:r>
          </w:p>
        </w:tc>
        <w:tc>
          <w:tcPr>
            <w:tcW w:type="dxa" w:w="3135"/>
          </w:tcPr>
          <w:p>
            <w:r/>
            <w:r>
              <w:rPr>
                <w:color w:val="374151"/>
                <w:sz w:val="22"/>
              </w:rPr>
              <w:t>Testes de penetração anuais, métricas de disponibilidade, formação avançada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Plano de remediação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ID-01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ID-02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ID-03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ID-04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ID-05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8. Aprovação e revisão</w:t>
      </w:r>
    </w:p>
    <w:p>
      <w:r>
        <w:rPr>
          <w:color w:val="374151"/>
          <w:sz w:val="22"/>
        </w:rPr>
        <w:t>A presente checklist deve ser revista com periodicidade mínima anual e após qualquer incidente significativo, alteração relevante ao ambiente de ameaças ou publicação de nova orientação regulatória pelo CNCS ou pela ENISA.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Diretor de operações de rede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conformidade regulatória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