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investigação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da investigação — incluindo universidades, institutos de investigação, laboratórios associados e centros de I&amp;D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 investigação está abrangido pelo âmbito de aplicação do DL 125/2025 enquanto entidade importante ou essencial, consoante a sua dimensão e criticidade. As autoridades supervisoras são a Fundação para a Ciência e a Tecnologia (FCT) para supervisão sectorial e o Centro Nacional de Cibersegurança (CNCS) para supervisão de cibersegurança. A FCCN (unidade da FCT) opera a Rede Ciência Tecnologia e Sociedade (RCTS), infraestrutura de comunicações partilhada por instituições académicas e de investigação.</w:t>
      </w:r>
    </w:p>
    <w:p>
      <w:r>
        <w:rPr>
          <w:color w:val="374151"/>
          <w:sz w:val="22"/>
        </w:rPr>
        <w:t>A checklist abrange a proteção de propriedade intelectual, a segurança de infraestruturas HPC e de laboratório, a gestão segura de dados de investigação, a segurança da rede académica RCTS/FCCN e os requisitos transversais do Art. 27.º do DL 125/2025.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da investigação devem articular os requisitos do DL 125/2025 com as suas obrigações de abertura científica e de proteção de ativos de investigação: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acesso, criptografia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RGPD (Regulamento UE 2016/679) — Proteção de dados pessoais de investigadores, participantes em estudos e dados de projetos que envolvam pessoas.</w:t>
      </w:r>
    </w:p>
    <w:p>
      <w:pPr>
        <w:pStyle w:val="ListParagraph"/>
      </w:pPr>
      <w:r>
        <w:rPr>
          <w:color w:val="374151"/>
          <w:sz w:val="22"/>
        </w:rPr>
        <w:t>Política de open access FCT — Requisitos de acesso aberto a publicações e dados de investigação financiados com fundos públicos, a conciliar com a proteção de PI.</w:t>
      </w:r>
    </w:p>
    <w:p>
      <w:pPr>
        <w:pStyle w:val="ListParagraph"/>
      </w:pPr>
      <w:r>
        <w:rPr>
          <w:color w:val="374151"/>
          <w:sz w:val="22"/>
        </w:rPr>
        <w:t>Regulamento Horizonte Europa — Requisitos de segurança e proteção de dados para projetos de investigação financiados pela União Europeia.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segurança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propriedade intelectual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Ativos de PI (patentes, dados de investigação, publicações)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infraestrutura HPC/clusters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computação de alto desempenho com autenticação f...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dados de investigação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investigação classificados, com políticas de retenç...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Encriptação de dados sensíveis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investigação sensíveis (pré-publicação, resultados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acessos a laboratórios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e registo de acessos físicos e lógicos a laboratórios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da rede académica (RCTS/FCCN)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e monitorização de acessos à Rede Ciência Tecnol...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colaborações internacionais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risco e controlos de segurança para partilha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de dados de investigação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de datasets, resultados e propriedade inte...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open science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Políticas de acesso aberto conciliadas com requisitos de seg...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candidaturas a financiamento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propostas FCT/Horizonte Europa e dados de projet...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identidades de investigadores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do ciclo de vida de contas de investigadores, incluin...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equipamentos de laboratório ligados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e segmentação de equipamentos de laboratório com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em cibersegurança para investigadores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sensibilização para investigadores, bolsei...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FCT/CNCS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à FCT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fornecedores de software científico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 de software de simula...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para infraestrutura de investigação</w:t>
      </w:r>
    </w:p>
    <w:p>
      <w:r>
        <w:rPr>
          <w:color w:val="374151"/>
          <w:sz w:val="22"/>
        </w:rPr>
        <w:t>As infraestruturas de investigação têm características específicas que requerem controlos de cibersegurança adaptados:</w:t>
      </w:r>
    </w:p>
    <w:p>
      <w:pPr>
        <w:pStyle w:val="ListParagraph"/>
      </w:pPr>
      <w:r>
        <w:rPr>
          <w:color w:val="374151"/>
          <w:sz w:val="22"/>
        </w:rPr>
        <w:t>Classificação de dados de investigação: definir níveis de classificação para dados pré-publicação, dados com potencial de duplo uso e dados de parceiros internacionais, com controlos de acesso proporcionais.</w:t>
      </w:r>
    </w:p>
    <w:p>
      <w:pPr>
        <w:pStyle w:val="ListParagraph"/>
      </w:pPr>
      <w:r>
        <w:rPr>
          <w:color w:val="374151"/>
          <w:sz w:val="22"/>
        </w:rPr>
        <w:t>Segurança de HPC: autenticação forte para acesso a clusters, monitorização de jobs, isolamento de jobs de diferentes projetos e cópias de segurança dos dados computacionais.</w:t>
      </w:r>
    </w:p>
    <w:p>
      <w:pPr>
        <w:pStyle w:val="ListParagraph"/>
      </w:pPr>
      <w:r>
        <w:rPr>
          <w:color w:val="374151"/>
          <w:sz w:val="22"/>
        </w:rPr>
        <w:t>Gestão de colaborações: avaliação de risco para partilha de dados com parceiros internacionais, com atenção especial a países com risco elevado de espionagem industrial ou académica.</w:t>
      </w:r>
    </w:p>
    <w:p>
      <w:pPr>
        <w:pStyle w:val="ListParagraph"/>
      </w:pPr>
      <w:r>
        <w:rPr>
          <w:color w:val="374151"/>
          <w:sz w:val="22"/>
        </w:rPr>
        <w:t>Proteção de candidaturas: controlos de confidencialidade para propostas de financiamento e resultados em fase de avaliação ou patente pendente.</w:t>
      </w:r>
    </w:p>
    <w:p>
      <w:pPr>
        <w:pStyle w:val="ListParagraph"/>
      </w:pPr>
      <w:r>
        <w:rPr>
          <w:color w:val="374151"/>
          <w:sz w:val="22"/>
        </w:rPr>
        <w:t>Segurança de equipamentos de laboratório: inventário de equipamentos com conectividade de rede, segmentação de rede para equipamentos críticos e política de atualização de firmware.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no sector da investigação, devem ser notificadas as seguintes entidades nos prazos previstos no Art. 34.º do DL 125/2025:</w:t>
      </w:r>
    </w:p>
    <w:p>
      <w:pPr>
        <w:pStyle w:val="ListParagraph"/>
      </w:pPr>
      <w:r>
        <w:rPr>
          <w:color w:val="374151"/>
          <w:sz w:val="22"/>
        </w:rPr>
        <w:t>FCT — Fundação para a Ciência e a Tecnologia: notificação de incidentes que afetem projetos financiados ou infraestruturas partilhadas de investigação.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 (alerta precoce).</w:t>
      </w:r>
    </w:p>
    <w:p>
      <w:pPr>
        <w:pStyle w:val="ListParagraph"/>
      </w:pPr>
      <w:r>
        <w:rPr>
          <w:color w:val="374151"/>
          <w:sz w:val="22"/>
        </w:rPr>
        <w:t>PJ — Polícia Judiciária (UNC3T): contacto em caso de suspeita de crime informático, espionagem académica ou exfiltração de dados.</w:t>
      </w:r>
    </w:p>
    <w:p>
      <w:pPr>
        <w:pStyle w:val="ListParagraph"/>
      </w:pPr>
      <w:r>
        <w:rPr>
          <w:color w:val="374151"/>
          <w:sz w:val="22"/>
        </w:rPr>
        <w:t>SIS — Serviço de Informações de Segurança: envolver se houver indícios de espionagem por atores estrangeiros ou comprometimento de investigação de interesse nacional.</w:t>
      </w:r>
    </w:p>
    <w:p>
      <w:pPr>
        <w:pStyle w:val="ListParagraph"/>
      </w:pPr>
      <w:r>
        <w:rPr>
          <w:color w:val="374151"/>
          <w:sz w:val="22"/>
        </w:rPr>
        <w:t>FCCN/RCTS: notificação imediata se o incidente afetar ou puder propagar-se à rede académica RCTS.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significativo, alteração relevante ao enquadramento regulatório ou mudança substancial na infraestrutura de investigação.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investigação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