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>
      <w:pPr>
        <w:jc w:val="center"/>
      </w:pPr>
      <w:r>
        <w:rPr>
          <w:color w:val="9CA3AF"/>
          <w:sz w:val="22"/>
        </w:rPr>
        <w:t>[Nome da organização]</w:t>
      </w:r>
    </w:p>
    <w:p>
      <w:pPr>
        <w:jc w:val="center"/>
      </w:pPr>
      <w:r>
        <w:rPr>
          <w:b/>
          <w:color w:val="1E3A8A"/>
          <w:sz w:val="28"/>
        </w:rPr>
        <w:t>Checklist de conformidade NIS2 — Sector dos transportes</w:t>
      </w:r>
    </w:p>
    <w:p>
      <w:pPr>
        <w:jc w:val="center"/>
      </w:pPr>
      <w:r>
        <w:rPr>
          <w:color w:val="374151"/>
          <w:sz w:val="22"/>
        </w:rPr>
        <w:t>Conformidade com o Decreto-Lei n.º 125/2025 (NIS2)</w:t>
      </w:r>
    </w:p>
    <w:p>
      <w:pPr>
        <w:jc w:val="center"/>
      </w:pPr>
      <w:r>
        <w:rPr>
          <w:b/>
          <w:color w:val="374151"/>
          <w:sz w:val="22"/>
        </w:rPr>
        <w:t xml:space="preserve">Versão: </w:t>
      </w:r>
      <w:r>
        <w:rPr>
          <w:color w:val="374151"/>
          <w:sz w:val="22"/>
        </w:rPr>
        <w:t>1.0</w:t>
      </w:r>
    </w:p>
    <w:p>
      <w:pPr>
        <w:jc w:val="center"/>
      </w:pPr>
      <w:r>
        <w:rPr>
          <w:b/>
          <w:color w:val="374151"/>
          <w:sz w:val="22"/>
        </w:rPr>
        <w:t xml:space="preserve">Data: </w:t>
      </w:r>
      <w:r>
        <w:rPr>
          <w:color w:val="374151"/>
          <w:sz w:val="22"/>
        </w:rPr>
        <w:t>09/04/2026</w:t>
      </w:r>
    </w:p>
    <w:p>
      <w:pPr>
        <w:jc w:val="center"/>
      </w:pPr>
      <w:r>
        <w:rPr>
          <w:b/>
          <w:color w:val="374151"/>
          <w:sz w:val="22"/>
        </w:rPr>
        <w:t xml:space="preserve">Classificação: </w:t>
      </w:r>
      <w:r>
        <w:rPr>
          <w:b/>
          <w:color w:val="DC2626"/>
          <w:sz w:val="22"/>
        </w:rPr>
        <w:t>Confidencial</w:t>
      </w:r>
    </w:p>
    <w:p/>
    <w:p>
      <w:pPr>
        <w:pStyle w:val="Heading1"/>
      </w:pPr>
      <w:r>
        <w:rPr>
          <w:b/>
          <w:color w:val="1E3A8A"/>
          <w:sz w:val="32"/>
        </w:rPr>
        <w:t>1. Objetivo e âmbito</w:t>
      </w:r>
    </w:p>
    <w:p>
      <w:r>
        <w:rPr>
          <w:color w:val="374151"/>
          <w:sz w:val="22"/>
        </w:rPr>
        <w:t>A presente checklist destina-se a apoiar as entidades do sector dos transportes — incluindo operadores ferroviários, aeroportos, companhias aéreas, portos, operadores de transporte público urbano e gestores de infraestrutura — na avaliação do seu nível de conformidade com o Decreto-Lei n.º 125/2025 (NIS2).</w:t>
      </w:r>
    </w:p>
    <w:p>
      <w:r>
        <w:rPr>
          <w:color w:val="374151"/>
          <w:sz w:val="22"/>
        </w:rPr>
        <w:t>O sector dos transportes é classificado como sector de alta criticidade no Anexo I do DL 125/2025. As autoridades supervisoras sectoriais são o Instituto da Mobilidade e dos Transportes (IMT), a Autoridade Nacional da Aviação Civil (ANAC) e a Autoridade da Mobilidade e dos Transportes (AMT), em articulação com o CNCS para matérias de cibersegurança.</w:t>
      </w:r>
    </w:p>
    <w:p>
      <w:r>
        <w:rPr>
          <w:color w:val="374151"/>
          <w:sz w:val="22"/>
        </w:rPr>
        <w:t>A checklist abrange os modos ferroviário, aéreo, marítimo e rodoviário, com controlos adaptados à especificidade de cada modo, mas partilhando os requisitos comuns do Art. 27.º do DL 125/2025. As entidades devem selecionar os controlos aplicáveis ao seu modo de transporte específico.</w:t>
      </w:r>
    </w:p>
    <w:p>
      <w:pPr>
        <w:pStyle w:val="Heading1"/>
      </w:pPr>
      <w:r>
        <w:rPr>
          <w:b/>
          <w:color w:val="1E3A8A"/>
          <w:sz w:val="32"/>
        </w:rPr>
        <w:t>2. Enquadramento regulatório</w:t>
      </w:r>
    </w:p>
    <w:p>
      <w:r>
        <w:rPr>
          <w:color w:val="374151"/>
          <w:sz w:val="22"/>
        </w:rPr>
        <w:t>Além dos requisitos gerais do DL 125/2025, as entidades do sector dos transportes estão sujeitas a regulamentação sectorial específica de cibersegurança:</w:t>
      </w:r>
    </w:p>
    <w:p>
      <w:pPr>
        <w:pStyle w:val="ListParagraph"/>
      </w:pPr>
      <w:r>
        <w:rPr>
          <w:color w:val="374151"/>
          <w:sz w:val="22"/>
        </w:rPr>
        <w:t>Regulamento de Execução (UE) 2023/1770 — medidas de cibersegurança para o sector ferroviário.</w:t>
      </w:r>
    </w:p>
    <w:p>
      <w:pPr>
        <w:pStyle w:val="ListParagraph"/>
      </w:pPr>
      <w:r>
        <w:rPr>
          <w:color w:val="374151"/>
          <w:sz w:val="22"/>
        </w:rPr>
        <w:t>Regulamento (UE) 2019/945 — requisitos de segurança para sistemas de aeronaves não tripuladas (drones).</w:t>
      </w:r>
    </w:p>
    <w:p>
      <w:pPr>
        <w:pStyle w:val="ListParagraph"/>
      </w:pPr>
      <w:r>
        <w:rPr>
          <w:color w:val="374151"/>
          <w:sz w:val="22"/>
        </w:rPr>
        <w:t>Regulamento (UE) 2015/1998 — normas comuns de segurança da aviação civil, incluindo sistemas de TI aeroportuários.</w:t>
      </w:r>
    </w:p>
    <w:p>
      <w:pPr>
        <w:pStyle w:val="ListParagraph"/>
      </w:pPr>
      <w:r>
        <w:rPr>
          <w:color w:val="374151"/>
          <w:sz w:val="22"/>
        </w:rPr>
        <w:t>Código ISPS (International Ship and Port Facility Security) — segurança de instalações portuárias, incluindo sistemas de informação.</w:t>
      </w:r>
    </w:p>
    <w:p>
      <w:pPr>
        <w:pStyle w:val="ListParagraph"/>
      </w:pPr>
      <w:r>
        <w:rPr>
          <w:color w:val="374151"/>
          <w:sz w:val="22"/>
        </w:rPr>
        <w:t>Art. 27.º a 30.º do DL 125/2025 — medidas de gestão de risco, proporcionalidade e responsabilidade.</w:t>
      </w:r>
    </w:p>
    <w:p>
      <w:pPr>
        <w:pStyle w:val="ListParagraph"/>
      </w:pPr>
      <w:r>
        <w:rPr>
          <w:color w:val="374151"/>
          <w:sz w:val="22"/>
        </w:rPr>
        <w:t>Art. 34.º do DL 125/2025 — notificação de incidentes significativos ao IMT, ANAC ou AMT e ao CNCS.</w:t>
      </w:r>
    </w:p>
    <w:p>
      <w:pPr>
        <w:pStyle w:val="Heading1"/>
      </w:pPr>
      <w:r>
        <w:rPr>
          <w:b/>
          <w:color w:val="1E3A8A"/>
          <w:sz w:val="32"/>
        </w:rPr>
        <w:t>3. Checklist de controlos por área</w:t>
      </w:r>
    </w:p>
    <w:p>
      <w:r>
        <w:rPr>
          <w:color w:val="374151"/>
          <w:sz w:val="22"/>
        </w:rPr>
        <w:t>Para cada item, assinale o estado: Sim, Não, Parcial ou N/A. Indique o modo de transporte aplicável (F=Ferroviário, A=Aéreo, M=Marítimo, R=Rodoviário).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568"/>
        <w:gridCol w:w="1568"/>
        <w:gridCol w:w="1568"/>
        <w:gridCol w:w="1568"/>
        <w:gridCol w:w="1568"/>
        <w:gridCol w:w="1568"/>
      </w:tblGrid>
      <w:tr>
        <w:tc>
          <w:tcPr>
            <w:tcW w:type="dxa" w:w="1568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Ref.</w:t>
            </w:r>
          </w:p>
        </w:tc>
        <w:tc>
          <w:tcPr>
            <w:tcW w:type="dxa" w:w="1568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Controlo</w:t>
            </w:r>
          </w:p>
        </w:tc>
        <w:tc>
          <w:tcPr>
            <w:tcW w:type="dxa" w:w="1568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Base legal</w:t>
            </w:r>
          </w:p>
        </w:tc>
        <w:tc>
          <w:tcPr>
            <w:tcW w:type="dxa" w:w="1568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Modo</w:t>
            </w:r>
          </w:p>
        </w:tc>
        <w:tc>
          <w:tcPr>
            <w:tcW w:type="dxa" w:w="1568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Estado</w:t>
            </w:r>
          </w:p>
        </w:tc>
        <w:tc>
          <w:tcPr>
            <w:tcW w:type="dxa" w:w="1568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Responsável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T-01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Segurança sistemas de sinalização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27.º al. b)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F/A/M/R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Não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T-02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Redundância comunicações críticas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27.º al. c)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F/A/M/R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Não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T-03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Proteção GPS e ADS-B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27.º al. b)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F/A/M/R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Não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T-04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Segurança bilhética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27.º al. b)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F/A/M/R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Não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T-05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Controlo acessos sistemas críticos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27.º al. i)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F/A/M/R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Não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T-06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Backup sistemas de operação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27.º al. c)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F/A/M/R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Não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T-07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Gestão vulnerabilidades aviação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27.º al. c)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F/A/M/R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Não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T-08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Formação de tripulantes/operadores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27.º al. g)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F/A/M/R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Não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T-09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Segurança sistemas de bagagens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27.º al. b)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F/A/M/R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Não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T-10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Proteção sistemas de reserva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27.º al. b)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F/A/M/R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Não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T-11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Monitorização tráfego marítimo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27.º al. b)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F/A/M/R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Não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T-12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Segurança controlo tráfego aéreo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27.º al. b)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F/A/M/R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Não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T-13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Gestão de patches sistemas operação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27.º al. c)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F/A/M/R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Não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T-14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Resposta a incidentes multimodal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27.º al. b)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F/A/M/R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Não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T-15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Criptografia dados de passageiros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27.º al. e)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F/A/M/R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Não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T-16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Avaliação fornecedores aviação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27.º al. d)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F/A/M/R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Não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T-17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Notificação IMT/ANAC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34.º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F/A/M/R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Não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T-18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Segurança ERTMS/ETCS ferroviário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27.º al. b)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F/A/M/R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Não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T-19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Proteção infraestrutura portuária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27.º al. b)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F/A/M/R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Não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T-20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Plano de continuidade por modo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27.º al. c)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F/A/M/R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Não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</w:tbl>
    <w:p/>
    <w:p>
      <w:pPr>
        <w:pStyle w:val="Heading1"/>
      </w:pPr>
      <w:r>
        <w:rPr>
          <w:b/>
          <w:color w:val="1E3A8A"/>
          <w:sz w:val="32"/>
        </w:rPr>
        <w:t>4. Controlos específicos por modo de transporte</w:t>
      </w:r>
    </w:p>
    <w:p>
      <w:r>
        <w:rPr>
          <w:color w:val="374151"/>
          <w:sz w:val="22"/>
        </w:rPr>
        <w:t>Além dos controlos transversais, cada modo de transporte tem requisitos específicos de cibersegurança:</w:t>
      </w:r>
    </w:p>
    <w:p>
      <w:r>
        <w:rPr>
          <w:color w:val="374151"/>
          <w:sz w:val="22"/>
        </w:rPr>
        <w:t>Modo ferroviário:</w:t>
      </w:r>
    </w:p>
    <w:p>
      <w:pPr>
        <w:pStyle w:val="ListParagraph"/>
      </w:pPr>
      <w:r>
        <w:rPr>
          <w:color w:val="374151"/>
          <w:sz w:val="22"/>
        </w:rPr>
        <w:t>Segurança do ERTMS/ETCS: o sistema europeu de controlo de comboios deve ter controlos de integridade e autenticação dos comandos de movimento.</w:t>
      </w:r>
    </w:p>
    <w:p>
      <w:pPr>
        <w:pStyle w:val="ListParagraph"/>
      </w:pPr>
      <w:r>
        <w:rPr>
          <w:color w:val="374151"/>
          <w:sz w:val="22"/>
        </w:rPr>
        <w:t>Proteção de instalações de comunicação ferroviária (GSM-R / FRMCS): comunicações entre comboios e controlo devem ser monitorizadas e protegidas.</w:t>
      </w:r>
    </w:p>
    <w:p>
      <w:r>
        <w:rPr>
          <w:color w:val="374151"/>
          <w:sz w:val="22"/>
        </w:rPr>
        <w:t>Modo aéreo:</w:t>
      </w:r>
    </w:p>
    <w:p>
      <w:pPr>
        <w:pStyle w:val="ListParagraph"/>
      </w:pPr>
      <w:r>
        <w:rPr>
          <w:color w:val="374151"/>
          <w:sz w:val="22"/>
        </w:rPr>
        <w:t>Proteção de sistemas ATC e AIS: sistemas de controlo de tráfego aéreo e informação aeronáutica com segmentação de rede e monitorização 24/7.</w:t>
      </w:r>
    </w:p>
    <w:p>
      <w:pPr>
        <w:pStyle w:val="ListParagraph"/>
      </w:pPr>
      <w:r>
        <w:rPr>
          <w:color w:val="374151"/>
          <w:sz w:val="22"/>
        </w:rPr>
        <w:t>Integridade de dados ADS-B: validação cruzada de dados de posição ADS-B com outros sistemas de vigilância para deteção de spoofing.</w:t>
      </w:r>
    </w:p>
    <w:p>
      <w:r>
        <w:rPr>
          <w:color w:val="374151"/>
          <w:sz w:val="22"/>
        </w:rPr>
        <w:t>Modo marítimo:</w:t>
      </w:r>
    </w:p>
    <w:p>
      <w:pPr>
        <w:pStyle w:val="ListParagraph"/>
      </w:pPr>
      <w:r>
        <w:rPr>
          <w:color w:val="374151"/>
          <w:sz w:val="22"/>
        </w:rPr>
        <w:t>Segurança de sistemas GMDSS: sistema global de socorro e segurança marítima com proteção contra comprometimento.</w:t>
      </w:r>
    </w:p>
    <w:p>
      <w:pPr>
        <w:pStyle w:val="ListParagraph"/>
      </w:pPr>
      <w:r>
        <w:rPr>
          <w:color w:val="374151"/>
          <w:sz w:val="22"/>
        </w:rPr>
        <w:t>Proteção de AIS e ECDIS: sistemas de identificação automática e carta eletrónica com controlos de integridade.</w:t>
      </w:r>
    </w:p>
    <w:p>
      <w:pPr>
        <w:pStyle w:val="Heading1"/>
      </w:pPr>
      <w:r>
        <w:rPr>
          <w:b/>
          <w:color w:val="1E3A8A"/>
          <w:sz w:val="32"/>
        </w:rPr>
        <w:t>5. Gestão de incidentes nos transportes</w:t>
      </w:r>
    </w:p>
    <w:p>
      <w:r>
        <w:rPr>
          <w:color w:val="374151"/>
          <w:sz w:val="22"/>
        </w:rPr>
        <w:t>A gestão de incidentes no sector dos transportes tem especificidades críticas devido ao potencial impacto na segurança física de passageiros e carga:</w:t>
      </w:r>
    </w:p>
    <w:p>
      <w:pPr>
        <w:pStyle w:val="ListParagraph"/>
      </w:pPr>
      <w:r>
        <w:rPr>
          <w:color w:val="374151"/>
          <w:sz w:val="22"/>
        </w:rPr>
        <w:t>Prioridade de segurança operacional: em qualquer incidente, a prioridade absoluta é garantir a segurança física das pessoas, antes de preservar evidências digitais.</w:t>
      </w:r>
    </w:p>
    <w:p>
      <w:pPr>
        <w:pStyle w:val="ListParagraph"/>
      </w:pPr>
      <w:r>
        <w:rPr>
          <w:color w:val="374151"/>
          <w:sz w:val="22"/>
        </w:rPr>
        <w:t>Modo de operação degradado: todas as entidades devem ter procedimentos documentados para operar manualmente quando sistemas digitais estão indisponíveis.</w:t>
      </w:r>
    </w:p>
    <w:p>
      <w:pPr>
        <w:pStyle w:val="ListParagraph"/>
      </w:pPr>
      <w:r>
        <w:rPr>
          <w:color w:val="374151"/>
          <w:sz w:val="22"/>
        </w:rPr>
        <w:t>Coordenação com autoridades de segurança: incidentes com impacto operacional exigem coordenação imediata com IMT, ANAC ou AMT conforme o modo.</w:t>
      </w:r>
    </w:p>
    <w:p>
      <w:pPr>
        <w:pStyle w:val="ListParagraph"/>
      </w:pPr>
      <w:r>
        <w:rPr>
          <w:color w:val="374151"/>
          <w:sz w:val="22"/>
        </w:rPr>
        <w:t>Notificação obrigatória: qualquer incidente que afete a segurança ou continuidade dos serviços de transporte deve ser notificado em menos de 24 horas.</w:t>
      </w:r>
    </w:p>
    <w:p>
      <w:pPr>
        <w:pStyle w:val="Heading1"/>
      </w:pPr>
      <w:r>
        <w:rPr>
          <w:b/>
          <w:color w:val="1E3A8A"/>
          <w:sz w:val="32"/>
        </w:rPr>
        <w:t>6. Avaliação de maturidade</w:t>
      </w:r>
    </w:p>
    <w:p>
      <w:r>
        <w:rPr>
          <w:color w:val="374151"/>
          <w:sz w:val="22"/>
        </w:rPr>
        <w:t>Score de maturidade da cibersegurança no sector dos transportes: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Área</w:t>
            </w:r>
          </w:p>
        </w:tc>
        <w:tc>
          <w:tcPr>
            <w:tcW w:type="dxa" w:w="3135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Nível atual (1-4)</w:t>
            </w:r>
          </w:p>
        </w:tc>
        <w:tc>
          <w:tcPr>
            <w:tcW w:type="dxa" w:w="3135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Observações</w:t>
            </w:r>
          </w:p>
        </w:tc>
      </w:tr>
      <w:tr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  <w:t>Segurança de sistemas operacionais (OT)</w:t>
            </w:r>
          </w:p>
        </w:tc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  <w:t>[ ] 1  [ ] 2  [ ] 3  [ ] 4</w:t>
            </w:r>
          </w:p>
        </w:tc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</w:r>
          </w:p>
        </w:tc>
      </w:tr>
      <w:tr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  <w:t>Gestão de vulnerabilidades</w:t>
            </w:r>
          </w:p>
        </w:tc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  <w:t>[ ] 1  [ ] 2  [ ] 3  [ ] 4</w:t>
            </w:r>
          </w:p>
        </w:tc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</w:r>
          </w:p>
        </w:tc>
      </w:tr>
      <w:tr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  <w:t>Resposta a incidentes</w:t>
            </w:r>
          </w:p>
        </w:tc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  <w:t>[ ] 1  [ ] 2  [ ] 3  [ ] 4</w:t>
            </w:r>
          </w:p>
        </w:tc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</w:r>
          </w:p>
        </w:tc>
      </w:tr>
      <w:tr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  <w:t>Formação e consciencialização</w:t>
            </w:r>
          </w:p>
        </w:tc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  <w:t>[ ] 1  [ ] 2  [ ] 3  [ ] 4</w:t>
            </w:r>
          </w:p>
        </w:tc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</w:r>
          </w:p>
        </w:tc>
      </w:tr>
      <w:tr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  <w:t>Segurança da cadeia de fornecimento</w:t>
            </w:r>
          </w:p>
        </w:tc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  <w:t>[ ] 1  [ ] 2  [ ] 3  [ ] 4</w:t>
            </w:r>
          </w:p>
        </w:tc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</w:r>
          </w:p>
        </w:tc>
      </w:tr>
      <w:tr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  <w:t>Conformidade regulatória sectorial</w:t>
            </w:r>
          </w:p>
        </w:tc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  <w:t>[ ] 1  [ ] 2  [ ] 3  [ ] 4</w:t>
            </w:r>
          </w:p>
        </w:tc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</w:r>
          </w:p>
        </w:tc>
      </w:tr>
    </w:tbl>
    <w:p/>
    <w:p>
      <w:pPr>
        <w:pStyle w:val="Heading1"/>
      </w:pPr>
      <w:r>
        <w:rPr>
          <w:b/>
          <w:color w:val="1E3A8A"/>
          <w:sz w:val="32"/>
        </w:rPr>
        <w:t>7. Plano de remediação</w:t>
      </w:r>
    </w:p>
    <w:p>
      <w:r>
        <w:rPr>
          <w:color w:val="374151"/>
          <w:sz w:val="22"/>
        </w:rPr>
        <w:t>Ações corretivas para lacunas identificadas na checklist: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881"/>
        <w:gridCol w:w="1881"/>
        <w:gridCol w:w="1881"/>
        <w:gridCol w:w="1881"/>
        <w:gridCol w:w="1881"/>
      </w:tblGrid>
      <w:tr>
        <w:tc>
          <w:tcPr>
            <w:tcW w:type="dxa" w:w="188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Ref. controlo</w:t>
            </w:r>
          </w:p>
        </w:tc>
        <w:tc>
          <w:tcPr>
            <w:tcW w:type="dxa" w:w="188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Lacuna identificada</w:t>
            </w:r>
          </w:p>
        </w:tc>
        <w:tc>
          <w:tcPr>
            <w:tcW w:type="dxa" w:w="188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Acção corretiva</w:t>
            </w:r>
          </w:p>
        </w:tc>
        <w:tc>
          <w:tcPr>
            <w:tcW w:type="dxa" w:w="188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Responsável</w:t>
            </w:r>
          </w:p>
        </w:tc>
        <w:tc>
          <w:tcPr>
            <w:tcW w:type="dxa" w:w="188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Prazo</w:t>
            </w:r>
          </w:p>
        </w:tc>
      </w:tr>
      <w:tr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T-01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[Descrever lacuna]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[Acção proposta]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[Data]</w:t>
            </w:r>
          </w:p>
        </w:tc>
      </w:tr>
      <w:tr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T-02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[Descrever lacuna]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[Acção proposta]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[Data]</w:t>
            </w:r>
          </w:p>
        </w:tc>
      </w:tr>
      <w:tr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T-03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[Descrever lacuna]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[Acção proposta]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[Data]</w:t>
            </w:r>
          </w:p>
        </w:tc>
      </w:tr>
      <w:tr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T-04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[Descrever lacuna]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[Acção proposta]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[Data]</w:t>
            </w:r>
          </w:p>
        </w:tc>
      </w:tr>
      <w:tr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T-05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[Descrever lacuna]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[Acção proposta]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[Data]</w:t>
            </w:r>
          </w:p>
        </w:tc>
      </w:tr>
    </w:tbl>
    <w:p/>
    <w:p>
      <w:pPr>
        <w:pStyle w:val="Heading1"/>
      </w:pPr>
      <w:r>
        <w:rPr>
          <w:b/>
          <w:color w:val="1E3A8A"/>
          <w:sz w:val="32"/>
        </w:rPr>
        <w:t>8. Aprovação e revisão</w:t>
      </w:r>
    </w:p>
    <w:p>
      <w:r>
        <w:rPr>
          <w:color w:val="374151"/>
          <w:sz w:val="22"/>
        </w:rPr>
        <w:t>A presente checklist é revista anualmente e após qualquer incidente significativo ou alteração relevante aos sistemas de transporte ou ao quadro regulatório.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Função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Nome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Assinatura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Data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CISO / Responsável de segurança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Diretor de operações de transporte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Responsável de conformidade regulatória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Órgão de gestão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</w:tr>
    </w:tbl>
    <w:p/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