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0"/>
      </w:pPr>
    </w:p>
    <w:p>
      <w:pPr>
        <w:spacing w:after="600"/>
        <w:jc w:val="center"/>
      </w:pPr>
      <w:r>
        <w:rPr>
          <w:i/>
          <w:iCs/>
          <w:color w:val="9ca3af"/>
          <w:sz w:val="22"/>
          <w:szCs w:val="22"/>
          <w:rFonts w:ascii="Calibri" w:cs="Calibri" w:eastAsia="Calibri" w:hAnsi="Calibri"/>
        </w:rPr>
        <w:t xml:space="preserve">[Nome da organização]</w:t>
      </w:r>
    </w:p>
    <w:p>
      <w:pPr>
        <w:spacing w:after="300"/>
        <w:jc w:val="center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Cláusulas de Segurança para Contratos com Fornecedores</w:t>
      </w:r>
    </w:p>
    <w:p>
      <w:pPr>
        <w:spacing w:after="1200"/>
        <w:jc w:val="center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Conformidade com DL 125/2025 (NIS2) e CIR 2024/2690 — Anexo 5</w:t>
      </w:r>
    </w:p>
    <w:p>
      <w:pPr>
        <w:spacing w:after="160"/>
        <w:jc w:val="center"/>
      </w:pPr>
      <w:r>
        <w:rPr>
          <w:b/>
          <w:bCs/>
          <w:color w:val="374151"/>
          <w:sz w:val="22"/>
          <w:szCs w:val="22"/>
          <w:rFonts w:ascii="Calibri" w:cs="Calibri" w:eastAsia="Calibri" w:hAnsi="Calibri"/>
        </w:rPr>
        <w:t xml:space="preserve">Versão: </w:t>
      </w:r>
      <w:r>
        <w:rPr>
          <w:color w:val="374151"/>
          <w:sz w:val="22"/>
          <w:szCs w:val="22"/>
          <w:rFonts w:ascii="Calibri" w:cs="Calibri" w:eastAsia="Calibri" w:hAnsi="Calibri"/>
        </w:rPr>
        <w:t xml:space="preserve">1.0</w:t>
      </w:r>
    </w:p>
    <w:p>
      <w:pPr>
        <w:spacing w:after="160"/>
        <w:jc w:val="center"/>
      </w:pPr>
      <w:r>
        <w:rPr>
          <w:b/>
          <w:bCs/>
          <w:color w:val="374151"/>
          <w:sz w:val="22"/>
          <w:szCs w:val="22"/>
          <w:rFonts w:ascii="Calibri" w:cs="Calibri" w:eastAsia="Calibri" w:hAnsi="Calibri"/>
        </w:rPr>
        <w:t xml:space="preserve">Data: </w:t>
      </w:r>
      <w:r>
        <w:rPr>
          <w:color w:val="374151"/>
          <w:sz w:val="22"/>
          <w:szCs w:val="22"/>
          <w:rFonts w:ascii="Calibri" w:cs="Calibri" w:eastAsia="Calibri" w:hAnsi="Calibri"/>
        </w:rPr>
        <w:t xml:space="preserve">18/03/2026</w:t>
      </w:r>
    </w:p>
    <w:p>
      <w:pPr>
        <w:spacing w:after="400"/>
        <w:jc w:val="center"/>
      </w:pPr>
      <w:r>
        <w:rPr>
          <w:b/>
          <w:bCs/>
          <w:color w:val="374151"/>
          <w:sz w:val="22"/>
          <w:szCs w:val="22"/>
          <w:rFonts w:ascii="Calibri" w:cs="Calibri" w:eastAsia="Calibri" w:hAnsi="Calibri"/>
        </w:rPr>
        <w:t xml:space="preserve">Classificação: </w:t>
      </w:r>
      <w:r>
        <w:rPr>
          <w:b/>
          <w:bCs/>
          <w:color w:val="dc2626"/>
          <w:sz w:val="22"/>
          <w:szCs w:val="22"/>
          <w:rFonts w:ascii="Calibri" w:cs="Calibri" w:eastAsia="Calibri" w:hAnsi="Calibri"/>
        </w:rPr>
        <w:t xml:space="preserve">Confidencial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shd w:color="1e3a8a" w:val="solid"/>
            <w:vAlign w:val="center"/>
          </w:tcPr>
          <w:p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Versão</w:t>
            </w:r>
          </w:p>
        </w:tc>
        <w:tc>
          <w:tcPr>
            <w:shd w:color="1e3a8a" w:val="solid"/>
            <w:vAlign w:val="center"/>
          </w:tcPr>
          <w:p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Data</w:t>
            </w:r>
          </w:p>
        </w:tc>
        <w:tc>
          <w:tcPr>
            <w:shd w:color="1e3a8a" w:val="solid"/>
            <w:vAlign w:val="center"/>
          </w:tcPr>
          <w:p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Autor</w:t>
            </w:r>
          </w:p>
        </w:tc>
        <w:tc>
          <w:tcPr>
            <w:shd w:color="1e3a8a" w:val="solid"/>
            <w:vAlign w:val="center"/>
          </w:tcPr>
          <w:p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Alterações</w:t>
            </w:r>
          </w:p>
        </w:tc>
        <w:tc>
          <w:tcPr>
            <w:shd w:color="1e3a8a" w:val="solid"/>
            <w:vAlign w:val="center"/>
          </w:tcPr>
          <w:p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Aprovado por</w:t>
            </w:r>
          </w:p>
        </w:tc>
      </w:tr>
      <w:tr>
        <w:tc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1.0</w:t>
            </w:r>
          </w:p>
        </w:tc>
        <w:tc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</w:r>
          </w:p>
        </w:tc>
        <w:tc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[Autor]</w:t>
            </w:r>
          </w:p>
        </w:tc>
        <w:tc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Versão inicial</w:t>
            </w:r>
          </w:p>
        </w:tc>
        <w:tc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[Aprovador]</w:t>
            </w:r>
          </w:p>
        </w:tc>
      </w:tr>
    </w:tbl>
    <w:p>
      <w:pPr>
        <w:pageBreakBefore/>
      </w:pPr>
      <w:r>
        <w:br/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1. Objetivo</w:t>
      </w:r>
    </w:p>
    <w:p>
      <w:pPr>
        <w:shd w:color="dbeafe" w:val="solid"/>
        <w:spacing w:before="160" w:after="160"/>
        <w:ind w:left="360" w:right="360"/>
      </w:pPr>
      <w:r>
        <w:rPr>
          <w:i/>
          <w:iCs/>
          <w:color w:val="1e3a8a"/>
          <w:sz w:val="22"/>
          <w:szCs w:val="22"/>
          <w:rFonts w:ascii="Calibri" w:cs="Calibri" w:eastAsia="Calibri" w:hAnsi="Calibri"/>
        </w:rPr>
        <w:t xml:space="preserve">Referência legal: Art. 21(2)(d) Diretiva NIS2 | Art. 26.º DL 125/2025 | CIR 2024/2690, Anexo 5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 presente documento estabelece os requisitos mínimos de cibersegurança que devem ser incluídos nos contratos celebrados com fornecedores, prestadores de serviços e parceiros que acedam ou processem dados da organização, ou que prestem serviços que suportem operações críticas.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 objetivo é garantir que a cadeia de fornecimento da organização não constitui um vetor de risco de cibersegurança, em cumprimento das obrigações do Art. 21(2)(d) da Diretiva NIS2 e do Art. 26.º do DL 125/2025. As cláusulas aqui definidas devem ser adaptadas ao nível de criticidade de cada fornecedor e incluídas em todos os contratos relevantes.</w:t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2. Enquadramento Legal e Normativo</w:t>
      </w:r>
    </w:p>
    <w:p>
      <w:pPr>
        <w:shd w:color="dbeafe" w:val="solid"/>
        <w:spacing w:before="160" w:after="160"/>
        <w:ind w:left="360" w:right="360"/>
      </w:pPr>
      <w:r>
        <w:rPr>
          <w:i/>
          <w:iCs/>
          <w:color w:val="1e3a8a"/>
          <w:sz w:val="22"/>
          <w:szCs w:val="22"/>
          <w:rFonts w:ascii="Calibri" w:cs="Calibri" w:eastAsia="Calibri" w:hAnsi="Calibri"/>
        </w:rPr>
        <w:t xml:space="preserve">Referência legal: Art. 21(2)(d) Diretiva NIS2 | Art. 26.º DL 125/2025 | CIR 2024/2690, Anexo 5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As obrigações relativas à segurança da cadeia de fornecimento decorrem de múltiplos instrumentos legais, que estabelecem um quadro abrangente de requisitos para a gestão de fornecedores no contexto da cibersegurança.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2.1 Legislação Aplicável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Diretiva (UE) 2022/2555 (NIS2) — Art. 21(2)(d): segurança da cadeia de fornecimento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Decreto-Lei n.º 125/2025, de 12 de março — Art. 26.º: medidas de gestão de riscos de cibersegurança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Regulamento de Execução (UE) 2024/2690 (CIR) — Anexo 5: requisitos para a cadeia de fornecimento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Regulamento (UE) 2016/679 (RGPD) — Art. 28.º: contratos com subcontratantes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Lei n.º 58/2019 — legislação nacional de proteção de dados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2.2 Responsabilidade da Organização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 organização mantém a responsabilidade final pela segurança dos seus sistemas e dados, mesmo quando a prestação de serviços é subcontratada. O incumprimento por parte de um fornecedor não exime a organização das suas obrigações regulatórias perante o CNCS, a CNPD ou outras autoridades competentes.</w:t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3. Âmbito de Aplicação e Classificação de Fornecedores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As cláusulas de segurança aplicam-se a todos os fornecedores com acesso a sistemas de informação, dados ou instalações da organização. A extensão e profundidade dos requisitos varia em função da classificação de criticidade do fornecedor.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3.1 Critérios de Classificação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shd w:color="1e3a8a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Nível</w:t>
            </w:r>
          </w:p>
        </w:tc>
        <w:tc>
          <w:tcPr>
            <w:shd w:color="1e3a8a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Designação</w:t>
            </w:r>
          </w:p>
        </w:tc>
        <w:tc>
          <w:tcPr>
            <w:shd w:color="1e3a8a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Critérios</w:t>
            </w:r>
          </w:p>
        </w:tc>
        <w:tc>
          <w:tcPr>
            <w:shd w:color="1e3a8a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Exemplos</w:t>
            </w:r>
          </w:p>
        </w:tc>
        <w:tc>
          <w:tcPr>
            <w:shd w:color="1e3a8a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Requisitos</w:t>
            </w:r>
          </w:p>
        </w:tc>
      </w:tr>
      <w:tr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Nível 1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Crítico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Acesso a sistemas essenciais; processa dados sensíveis; impacto operacional direto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Cloud infrastructure, SOC externo, ERP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ISO 27001 obrigatório; auditoria anual; cláusulas completas</w:t>
            </w:r>
          </w:p>
        </w:tc>
      </w:tr>
      <w:tr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Nível 2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Importante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Acesso a dados internos; suporte a sistemas importantes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Fornecedores SaaS, suporte TI, consultoria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Questionário de segurança; cláusulas standard; revisão bienal</w:t>
            </w:r>
          </w:p>
        </w:tc>
      </w:tr>
      <w:tr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Nível 3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Normal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Sem acesso a sistemas ou dados sensíveis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Fornecedores de material de escritório, limpeza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Cláusulas básicas de confidencialidade</w:t>
            </w:r>
          </w:p>
        </w:tc>
      </w:tr>
    </w:tbl>
    <w:p>
      <w:pPr>
        <w:spacing w:after="200"/>
      </w:pP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3.2 Processo de Classificação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 classificação de cada fornecedor é determinada pelo CISO em conjunto com o gestor de contrato, com base nos critérios definidos na tabela acima. A classificação deve ser revista anualmente ou sempre que o âmbito do contrato seja alterado. Os fornecedores devem ser informados da sua classificação e dos requisitos dela decorrentes.</w:t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4. Requisitos Gerais de Segurança</w:t>
      </w:r>
    </w:p>
    <w:p>
      <w:pPr>
        <w:shd w:color="dbeafe" w:val="solid"/>
        <w:spacing w:before="160" w:after="160"/>
        <w:ind w:left="360" w:right="360"/>
      </w:pPr>
      <w:r>
        <w:rPr>
          <w:i/>
          <w:iCs/>
          <w:color w:val="1e3a8a"/>
          <w:sz w:val="22"/>
          <w:szCs w:val="22"/>
          <w:rFonts w:ascii="Calibri" w:cs="Calibri" w:eastAsia="Calibri" w:hAnsi="Calibri"/>
        </w:rPr>
        <w:t xml:space="preserve">Referência legal: CIR 2024/2690, Anexo 5 — Requisitos mínimos de segurança para fornecedores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Independentemente da classificação, todos os fornecedores com acesso a sistemas ou dados da organização devem cumprir os seguintes requisitos mínimos de segurança: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4.1 Políticas e Controlos Mínimos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 fornecedor deve dispor de uma política de segurança da informação documentada e atualizada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Devem existir controlos de acesso lógico e físico aos sistemas que processam dados da organização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 fornecedor deve manter um programa de gestão de vulnerabilidades com remediação atempada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Os sistemas do fornecedor devem ser mantidos com patches de segurança atualizados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 fornecedor deve dispor de soluções de proteção endpoint (antivírus/EDR) em todos os sistemas relevantes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Devem existir controlos de logging e monitorização nos sistemas que processam dados da organização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4.2 Certificações Aceites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Para fornecedores de nível 1 (crítico), é obrigatória a detenção de pelo menos uma das seguintes certificações ou equivalente reconhecido: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ISO/IEC 27001:2022 — Sistema de Gestão de Segurança da Informação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SOC 2 Type II — Relatório de controlos de segurança, disponibilidade, integridade de processamento, confidencialidade e privacidade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Certificação equivalente reconhecida pelo CNCS ou por organismo de acreditação europeu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Para fornecedores de infraestrutura cloud: conformidade com CSA STAR ou equivalente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Para fornecedores de nível 2 (importante), pode ser aceite o preenchimento de um questionário de avaliação de segurança validado pelo CISO em substituição de certificação formal.</w:t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5. Gestão de Acessos</w:t>
      </w:r>
    </w:p>
    <w:p>
      <w:pPr>
        <w:shd w:color="dbeafe" w:val="solid"/>
        <w:spacing w:before="160" w:after="160"/>
        <w:ind w:left="360" w:right="360"/>
      </w:pPr>
      <w:r>
        <w:rPr>
          <w:i/>
          <w:iCs/>
          <w:color w:val="1e3a8a"/>
          <w:sz w:val="22"/>
          <w:szCs w:val="22"/>
          <w:rFonts w:ascii="Calibri" w:cs="Calibri" w:eastAsia="Calibri" w:hAnsi="Calibri"/>
        </w:rPr>
        <w:t xml:space="preserve">Referência legal: CIR 2024/2690, Anexo 5 — Controlos de acesso para fornecedores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 acesso de fornecedores aos sistemas e dados da organização deve ser estritamente controlado com base no princípio do menor privilégio e na necessidade de conhecer (need-to-know).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5.1 Princípio do Menor Privilégio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 fornecedor deve garantir que os seus colaboradores têm apenas os acessos estritamente necessários para a prestação do serviço contratado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Não devem ser criadas contas genéricas ou partilhadas; cada utilizador deve ter credenciais individuais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Os acessos devem ser revogados imediatamente quando um colaborador do fornecedor muda de função ou deixa a organização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 lista de acessos ativos deve ser partilhada com a organização contratante trimestralmente (fornecedores nível 1) ou semestralmente (nível 2)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5.2 Autenticação Multi-fator (MFA)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É obrigatória a utilização de MFA para todos os acessos remotos a sistemas da organização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 MFA deve ser baseado em TOTP, FIDO2, ou solução equivalente de força similar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Não é aceite MFA baseado exclusivamente em SMS para acessos a sistemas críticos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 fornecedor deve dispor de processo documentado para gestão de tokens/dispositivos MFA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5.3 Segregação de Ambientes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 fornecedor deve manter os sistemas que processam dados da organização segregados de outros clientes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 acesso remoto deve ser efetuado através de VPN dedicada ou acesso gerido (PAM)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Sessões de acesso remoto devem ser monitorizadas e registadas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É proibido o acesso não autorizado a sistemas de produção a partir de ambientes de desenvolvimento ou teste</w:t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6. Proteção de Dados</w:t>
      </w:r>
    </w:p>
    <w:p>
      <w:pPr>
        <w:shd w:color="dbeafe" w:val="solid"/>
        <w:spacing w:before="160" w:after="160"/>
        <w:ind w:left="360" w:right="360"/>
      </w:pPr>
      <w:r>
        <w:rPr>
          <w:i/>
          <w:iCs/>
          <w:color w:val="1e3a8a"/>
          <w:sz w:val="22"/>
          <w:szCs w:val="22"/>
          <w:rFonts w:ascii="Calibri" w:cs="Calibri" w:eastAsia="Calibri" w:hAnsi="Calibri"/>
        </w:rPr>
        <w:t xml:space="preserve">Referência legal: Art. 28.º RGPD | CIR 2024/2690, Anexo 5 — Proteção de dados na cadeia de fornecimento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Quando o fornecedor processa dados pessoais em nome da organização, é obrigatória a celebração de um contrato de subcontratação nos termos do Art. 28.º do RGPD, complementado pelas cláusulas abaixo.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6.1 Tratamento de Dados Pessoais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 fornecedor apenas pode tratar os dados pessoais fornecidos pela organização para os fins expressamente contratados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É proibido o tratamento de dados para fins próprios do fornecedor, incluindo fins analíticos ou de treino de IA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 fornecedor deve implementar medidas técnicas e organizativas adequadas para proteger os dados pessoais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 fornecedor deve notificar a organização de qualquer pedido de acesso às suas autoridades (incluindo autoridades de outros países) que envolva dados da organização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6.2 Localização e Transferências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Os dados da organização não podem ser transferidos para fora da União Europeia sem autorização prévia e escrita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Transferências para países terceiros devem ser cobertas por mecanismo adequado (adequação, SCCs, ou BCRs)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 fornecedor deve identificar no contrato todos os locais onde os dados serão armazenados e processados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Alterações à localização dos dados requerem notificação prévia de 30 dias e aprovação da organização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6.3 Encriptação e Destruição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Os dados em repouso devem ser encriptados com algoritmos aprovados (AES-256 ou equivalente)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Os dados em trânsito devem ser transmitidos através de protocolos seguros (TLS 1.2+)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No termo do contrato, o fornecedor deve devolver todos os dados à organização em formato utilizável e destruir todas as cópias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 destruição de dados deve ser certificada por escrito, com indicação do método utilizado</w:t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7. Gestão de Incidentes de Segurança</w:t>
      </w:r>
    </w:p>
    <w:p>
      <w:pPr>
        <w:shd w:color="dbeafe" w:val="solid"/>
        <w:spacing w:before="160" w:after="160"/>
        <w:ind w:left="360" w:right="360"/>
      </w:pPr>
      <w:r>
        <w:rPr>
          <w:i/>
          <w:iCs/>
          <w:color w:val="1e3a8a"/>
          <w:sz w:val="22"/>
          <w:szCs w:val="22"/>
          <w:rFonts w:ascii="Calibri" w:cs="Calibri" w:eastAsia="Calibri" w:hAnsi="Calibri"/>
        </w:rPr>
        <w:t xml:space="preserve">Referência legal: Art. 26.º DL 125/2025 | CIR 2024/2690, Anexo 5 — Notificação de incidentes na cadeia de fornecimento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 fornecedor é obrigado a notificar a organização de qualquer incidente de segurança que possa afetar os sistemas, dados ou serviços contratados. A cooperação na investigação e resposta a incidentes é obrigatória.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7.1 Obrigações de Notificação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rPr>
          <w:tblHeader/>
        </w:trPr>
        <w:tc>
          <w:tcPr>
            <w:shd w:color="1e3a8a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Tipo de Incidente</w:t>
            </w:r>
          </w:p>
        </w:tc>
        <w:tc>
          <w:tcPr>
            <w:shd w:color="1e3a8a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Prazo de Notificação</w:t>
            </w:r>
          </w:p>
        </w:tc>
        <w:tc>
          <w:tcPr>
            <w:shd w:color="1e3a8a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Conteúdo Mínimo</w:t>
            </w:r>
          </w:p>
        </w:tc>
        <w:tc>
          <w:tcPr>
            <w:shd w:color="1e3a8a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Canal</w:t>
            </w:r>
          </w:p>
        </w:tc>
      </w:tr>
      <w:tr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Violação de dados pessoais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24 horas após deteção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Natureza, dados afetados, medidas tomadas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Email seguro + telefone</w:t>
            </w:r>
          </w:p>
        </w:tc>
      </w:tr>
      <w:tr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Comprometimento de sistemas do cliente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12 horas após confirmação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Sistemas afetados, vetor de ataque, contenção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Telefone + confirmação escrita</w:t>
            </w:r>
          </w:p>
        </w:tc>
      </w:tr>
      <w:tr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Incidente com impacto potencial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48 horas após deteção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Descrição do incidente, potencial impacto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Email seguro</w:t>
            </w:r>
          </w:p>
        </w:tc>
      </w:tr>
      <w:tr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Vulnerabilidade crítica identificada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72 horas após identificação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Descrição técnica, sistemas afetados, prazo de remediação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Email seguro</w:t>
            </w:r>
          </w:p>
        </w:tc>
      </w:tr>
    </w:tbl>
    <w:p>
      <w:pPr>
        <w:spacing w:after="200"/>
      </w:pP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7.2 Cooperação na Investigação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 fornecedor deve cooperar plenamente na investigação de incidentes que envolvam os seus sistemas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Deve ser disponibilizado acesso a logs, registos e evidências relevantes para a investigação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 organização pode solicitar a intervenção de peritos forenses externos, a expensas do fornecedor se o incidente for da sua responsabilidade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 fornecedor não pode eliminar logs ou evidências sem autorização prévia da organização durante o período de investigação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7.3 Preservação de Evidências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Os logs de segurança devem ser retidos por um mínimo de 12 meses (24 meses para fornecedores críticos)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Em caso de incidente, os logs relevantes devem ser preservados até resolução completa e acordo da organização para destruição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 cadeia de custódia das evidências deve ser documentada se se antecipar litígio ou processo regulatório</w:t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8. Níveis de Serviço (SLAs)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Os seguintes níveis de serviço são requisitos mínimos para os contratos com fornecedores dos níveis 1 e 2. Os valores concretos devem ser negociados e refletidos no contrato.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rPr>
          <w:tblHeader/>
        </w:trPr>
        <w:tc>
          <w:tcPr>
            <w:shd w:color="1e3a8a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Métrica</w:t>
            </w:r>
          </w:p>
        </w:tc>
        <w:tc>
          <w:tcPr>
            <w:shd w:color="1e3a8a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Nível 1 (Crítico)</w:t>
            </w:r>
          </w:p>
        </w:tc>
        <w:tc>
          <w:tcPr>
            <w:shd w:color="1e3a8a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Nível 2 (Importante)</w:t>
            </w:r>
          </w:p>
        </w:tc>
        <w:tc>
          <w:tcPr>
            <w:shd w:color="1e3a8a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Penalização por Incumprimento</w:t>
            </w:r>
          </w:p>
        </w:tc>
      </w:tr>
      <w:tr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Disponibilidade do serviço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99,9% mensal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99,5% mensal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Crédito de serviço proporcional</w:t>
            </w:r>
          </w:p>
        </w:tc>
      </w:tr>
      <w:tr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Tempo de resposta a incidentes P1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&lt; 1 hora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&lt; 4 horas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Penalidade por hora de atraso</w:t>
            </w:r>
          </w:p>
        </w:tc>
      </w:tr>
      <w:tr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Tempo de resolução P1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&lt; 4 horas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&lt; 8 horas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Escalonamento contratual</w:t>
            </w:r>
          </w:p>
        </w:tc>
      </w:tr>
      <w:tr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Notificação de violação de segurança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&lt; 24 horas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&lt; 48 horas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Rescisão imediata possível</w:t>
            </w:r>
          </w:p>
        </w:tc>
      </w:tr>
      <w:tr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Entrega de relatórios de segurança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Mensal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Trimestral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Retenção de pagamento</w:t>
            </w:r>
          </w:p>
        </w:tc>
      </w:tr>
      <w:tr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Teste de penetração anual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Obrigatório, partilhar resultados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Recomendado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Rescisão se recusado</w:t>
            </w:r>
          </w:p>
        </w:tc>
      </w:tr>
    </w:tbl>
    <w:p>
      <w:pPr>
        <w:spacing w:after="200"/>
      </w:pP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8.1 Medição e Reporte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 fornecedor deve disponibilizar relatórios mensais de cumprimento dos SLAs para fornecedores nível 1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Os créditos de serviço devem ser aplicados automaticamente, sem necessidade de reclamação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Incumprimento reiterado (mais de 3 meses consecutivos) é causa de rescisão com justa causa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 organização tem o direito de auditar a metodologia de cálculo dos SLAs</w:t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9. Direito de Auditoria</w:t>
      </w:r>
    </w:p>
    <w:p>
      <w:pPr>
        <w:shd w:color="dbeafe" w:val="solid"/>
        <w:spacing w:before="160" w:after="160"/>
        <w:ind w:left="360" w:right="360"/>
      </w:pPr>
      <w:r>
        <w:rPr>
          <w:i/>
          <w:iCs/>
          <w:color w:val="1e3a8a"/>
          <w:sz w:val="22"/>
          <w:szCs w:val="22"/>
          <w:rFonts w:ascii="Calibri" w:cs="Calibri" w:eastAsia="Calibri" w:hAnsi="Calibri"/>
        </w:rPr>
        <w:t xml:space="preserve">Referência legal: CIR 2024/2690, Anexo 5 — Direito de auditoria a fornecedores críticos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 organização reserva-se o direito de auditar o cumprimento das cláusulas de segurança por parte do fornecedor. Este direito é uma condição essencial do contrato e a sua recusa é causa de rescisão.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9.1 Modalidades de Auditoria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Auditoria documental: revisão de políticas, procedimentos, certificações e relatórios de segurança; mínimo anual para fornecedores nível 1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Auditoria de segurança: análise técnica de controlos implementados; frequência a definir no contrato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Teste de penetração: testes técnicos de segurança com âmbito acordado; anual para fornecedores nível 1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Inspeção no local: visita às instalações do fornecedor; possível com aviso prévio de 10 dias úteis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9.2 Acesso a Relatórios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 fornecedor deve disponibilizar relatórios de auditorias e testes de segurança realizados por terceiros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Relatórios de pentest devem ser partilhados no prazo de 30 dias após conclusão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 fornecedor pode redactar informação sensível sobre outros clientes mas não pode ocultar vulnerabilidades relevantes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 organização pode solicitar remediação de vulnerabilidades identificadas em auditorias com prazo definido no contrato</w:t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10. Subcontratação</w:t>
      </w:r>
    </w:p>
    <w:p>
      <w:pPr>
        <w:shd w:color="dbeafe" w:val="solid"/>
        <w:spacing w:before="160" w:after="160"/>
        <w:ind w:left="360" w:right="360"/>
      </w:pPr>
      <w:r>
        <w:rPr>
          <w:i/>
          <w:iCs/>
          <w:color w:val="1e3a8a"/>
          <w:sz w:val="22"/>
          <w:szCs w:val="22"/>
          <w:rFonts w:ascii="Calibri" w:cs="Calibri" w:eastAsia="Calibri" w:hAnsi="Calibri"/>
        </w:rPr>
        <w:t xml:space="preserve">Referência legal: Art. 21(2)(d) Diretiva NIS2 | CIR 2024/2690, Anexo 5 — Subcontratação na cadeia de fornecimento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 subcontratação de serviços que envolvam acesso a sistemas ou dados da organização requer aprovação prévia. O fornecedor principal mantém responsabilidade solidária pelo cumprimento das cláusulas de segurança pelos subcontratados.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10.1 Aprovação Prévia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 subcontratação de qualquer parte dos serviços que envolva dados ou sistemas da organização requer aprovação prévia e por escrito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 pedido de aprovação deve incluir: nome e identificação do subcontratado, serviços a subcontratar, localização geográfica, medidas de segurança implementadas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 organização tem o direito de recusar um subcontratado sem necessidade de justificação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Alterações de subcontratados durante a vigência do contrato seguem o mesmo processo de aprovação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10.2 Flow-down de Requisitos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 fornecedor deve incluir nos contratos com subcontratados cláusulas equivalentes às do contrato principal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Os subcontratados devem cumprir os mesmos níveis de segurança exigidos ao fornecedor principal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 fornecedor deve realizar due diligence de segurança nos seus subcontratados e disponibilizar os resultados à organização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 lista de subcontratados aprovados deve ser atualizada e disponibilizada à organização anualmente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10.3 Responsabilidade Solidária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 fornecedor principal é solidariamente responsável por qualquer incidente de segurança causado ou facilitado por um subcontratado. A organização pode reclamar indemnizações ao fornecedor principal independentemente de quem causou o incidente.</w:t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11. Continuidade de Negócio do Fornecedor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Para fornecedores de nível 1 e 2, é obrigatória a existência de planos de continuidade de negócio e de recuperação de desastres que garantam a continuidade da prestação de serviços em caso de incidente.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11.1 Requisitos de Continuidade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 fornecedor deve dispor de um Plano de Continuidade de Negócio (PCN) documentado e testado para os serviços contratados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Os objetivos de recuperação (RTO e RPO) devem ser definidos no contrato e alinhados com as necessidades da organização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 fornecedor deve demonstrar capacidade de recuperação dos serviços dentro dos RTO/RPO contratados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 PCN deve ser testado pelo menos anualmente, com partilha dos resultados à organização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11.2 Plano de Substituição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 contrato deve incluir um plano de transição para fornecedor alternativo em caso de falência, incumprimento grave ou rescisão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 fornecedor deve cooperar na transição, incluindo disponibilização de dados em formato portável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 período de transição mínimo deve estar definido no contrato (mínimo 90 dias para fornecedores críticos)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 organização deve manter um registo de fornecedores alternativos pré-qualificados para serviços críticos</w:t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12. Cláusulas de Rescisão por Motivos de Segurança</w:t>
      </w:r>
    </w:p>
    <w:p>
      <w:pPr>
        <w:shd w:color="dbeafe" w:val="solid"/>
        <w:spacing w:before="160" w:after="160"/>
        <w:ind w:left="360" w:right="360"/>
      </w:pPr>
      <w:r>
        <w:rPr>
          <w:i/>
          <w:iCs/>
          <w:color w:val="1e3a8a"/>
          <w:sz w:val="22"/>
          <w:szCs w:val="22"/>
          <w:rFonts w:ascii="Calibri" w:cs="Calibri" w:eastAsia="Calibri" w:hAnsi="Calibri"/>
        </w:rPr>
        <w:t xml:space="preserve">Referência legal: CIR 2024/2690, Anexo 5 — Rescisão contratual por incumprimento de requisitos de segurança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 incumprimento das cláusulas de segurança constitui causa de rescisão do contrato. As condições de rescisão e o processo de transição devem estar claramente definidos no contrato.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12.1 Causas de Rescisão Imediata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Violação de dados da organização por negligência ou dolo do fornecedor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Recusa de cooperação em investigação de incidente de segurança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Ocultação de incidente de segurança relevante para a organização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Comprometimento confirmado de sistemas críticos do fornecedor sem medidas adequadas de remediação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Subcontratação não autorizada de serviços que envolvam dados da organização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Revogação ou suspensão de certificação de segurança obrigatória sem alternativa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12.2 Causas de Rescisão com Pré-aviso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Incumprimento reiterado de SLAs de segurança (mais de 3 meses consecutivos)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Recusa de auditoria de segurança sem justificação válida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Não remediação de vulnerabilidades críticas no prazo contratualmente definido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Alteração significativa da política de segurança sem aprovação prévia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12.3 Transição e Devolução de Dados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No término do contrato, o fornecedor deve devolver todos os dados em formato acordado no prazo de 30 dias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Após confirmação de receção, o fornecedor deve destruir todas as cópias e emitir certificado de destruição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 destruição deve seguir normas reconhecidas (ex.: NIST SP 800-88)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 fornecedor deve colaborar na transferência de conhecimento e documentação para o novo fornecedor ou para a organização</w:t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13. Conformidade Regulatória</w:t>
      </w:r>
    </w:p>
    <w:p>
      <w:pPr>
        <w:shd w:color="dbeafe" w:val="solid"/>
        <w:spacing w:before="160" w:after="160"/>
        <w:ind w:left="360" w:right="360"/>
      </w:pPr>
      <w:r>
        <w:rPr>
          <w:i/>
          <w:iCs/>
          <w:color w:val="1e3a8a"/>
          <w:sz w:val="22"/>
          <w:szCs w:val="22"/>
          <w:rFonts w:ascii="Calibri" w:cs="Calibri" w:eastAsia="Calibri" w:hAnsi="Calibri"/>
        </w:rPr>
        <w:t xml:space="preserve">Referência legal: Art. 26.º DL 125/2025 | Art. 28.º RGPD | CIR 2024/2690, Anexo 5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 fornecedor é obrigado a cumprir toda a legislação aplicável relacionada com cibersegurança, proteção de dados e requisitos setoriais relevantes para a prestação dos serviços contratados.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13.1 Obrigações NIS2 e DL 125/2025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Se o fornecedor for ele próprio uma entidade essencial ou importante ao abrigo do DL 125/2025, deve demonstrar conformidade com os requisitos do Art. 26.º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 fornecedor deve implementar as medidas de segurança previstas no CIR 2024/2690 nos sistemas que suportam os serviços prestados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Em caso de incidente que obrigue a notificação ao CNCS, o fornecedor deve cooperar na produção da notificação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13.2 Obrigações RGPD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 fornecedor deve cumprir todos os requisitos do Regulamento Geral de Proteção de Dados (RGPD) enquanto subcontratante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 contrato de subcontratação nos termos do Art. 28.º RGPD deve ser celebrado antes do início do tratamento de dados pessoais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 fornecedor deve assistir a organização no cumprimento das obrigações de exercício de direitos dos titulares de dados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 fornecedor deve cooperar com a CNPD em caso de investigação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13.3 Legislação Setorial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Consoante o setor de atividade, podem aplicar-se requisitos adicionais (ex.: Banco de Portugal para serviços financeiros, ARS/DGS para serviços de saúde). O fornecedor deve identificar e cumprir toda a legislação setorial aplicável à prestação dos serviços contratados.</w:t>
      </w:r>
    </w:p>
    <w:sectPr>
      <w:headerReference w:type="default" r:id="rId6"/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1e3a8a" w:sz="6" w:space="1"/>
      </w:pBdr>
      <w:jc w:val="center"/>
    </w:pPr>
    <w:r>
      <w:rPr>
        <w:color w:val="9ca3af"/>
        <w:sz w:val="18"/>
        <w:szCs w:val="18"/>
        <w:rFonts w:ascii="Calibri" w:cs="Calibri" w:eastAsia="Calibri" w:hAnsi="Calibri"/>
      </w:rPr>
      <w:t xml:space="preserve">Confidencial  |  Página </w:t>
    </w:r>
    <w:r>
      <w:rPr>
        <w:color w:val="9ca3af"/>
        <w:sz w:val="18"/>
        <w:szCs w:val="18"/>
        <w:rFonts w:ascii="Calibri" w:cs="Calibri" w:eastAsia="Calibri" w:hAnsi="Calibri"/>
      </w:rPr>
      <w:fldChar w:fldCharType="begin"/>
      <w:instrText xml:space="preserve">PAGE</w:instrText>
      <w:fldChar w:fldCharType="separate"/>
      <w:fldChar w:fldCharType="end"/>
    </w:r>
    <w:r>
      <w:rPr>
        <w:color w:val="9ca3af"/>
        <w:sz w:val="18"/>
        <w:szCs w:val="18"/>
        <w:rFonts w:ascii="Calibri" w:cs="Calibri" w:eastAsia="Calibri" w:hAnsi="Calibri"/>
      </w:rPr>
      <w:t xml:space="preserve"> de </w:t>
    </w:r>
    <w:r>
      <w:rPr>
        <w:color w:val="9ca3af"/>
        <w:sz w:val="18"/>
        <w:szCs w:val="18"/>
        <w:rFonts w:ascii="Calibri" w:cs="Calibri" w:eastAsia="Calibri" w:hAnsi="Calibri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1e3a8a" w:sz="6" w:space="1"/>
      </w:pBdr>
      <w:jc w:val="right"/>
    </w:pPr>
    <w:r>
      <w:rPr>
        <w:color w:val="9ca3af"/>
        <w:sz w:val="18"/>
        <w:szCs w:val="18"/>
        <w:rFonts w:ascii="Calibri" w:cs="Calibri" w:eastAsia="Calibri" w:hAnsi="Calibri"/>
      </w:rPr>
      <w:t xml:space="preserve">Cláusulas de Segurança para Contratos com Fornecedores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2026-03-18T13:34:03.448Z</dcterms:created>
  <dcterms:modified xsi:type="dcterms:W3CDTF">2026-03-18T13:34:03.448Z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