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pPr>
    </w:p>
    <w:p>
      <w:pPr>
        <w:spacing w:after="600"/>
        <w:jc w:val="center"/>
      </w:pPr>
      <w:r>
        <w:rPr>
          <w:i/>
          <w:iCs/>
          <w:color w:val="9ca3af"/>
          <w:sz w:val="22"/>
          <w:szCs w:val="22"/>
          <w:rFonts w:ascii="Calibri" w:cs="Calibri" w:eastAsia="Calibri" w:hAnsi="Calibri"/>
        </w:rPr>
        <w:t xml:space="preserve">[Nome da organização]</w:t>
      </w:r>
    </w:p>
    <w:p>
      <w:pPr>
        <w:spacing w:after="300"/>
        <w:jc w:val="center"/>
      </w:pPr>
      <w:r>
        <w:rPr>
          <w:b/>
          <w:bCs/>
          <w:color w:val="1e3a8a"/>
          <w:sz w:val="28"/>
          <w:szCs w:val="28"/>
          <w:rFonts w:ascii="Calibri" w:cs="Calibri" w:eastAsia="Calibri" w:hAnsi="Calibri"/>
        </w:rPr>
        <w:t xml:space="preserve">Exercício de mesa NIS2 — Setor Banca</w:t>
      </w:r>
    </w:p>
    <w:p>
      <w:pPr>
        <w:spacing w:after="1200"/>
        <w:jc w:val="center"/>
      </w:pPr>
      <w:r>
        <w:rPr>
          <w:color w:val="374151"/>
          <w:sz w:val="22"/>
          <w:szCs w:val="22"/>
          <w:rFonts w:ascii="Calibri" w:cs="Calibri" w:eastAsia="Calibri" w:hAnsi="Calibri"/>
        </w:rPr>
        <w:t xml:space="preserve">Cenário: ataque de negação de serviço distribuída (DDoS) — Setor bancário, Anexo I, ponto 3, do DL 125/2025</w:t>
      </w:r>
    </w:p>
    <w:p>
      <w:pPr>
        <w:spacing w:after="160"/>
        <w:jc w:val="center"/>
      </w:pPr>
      <w:r>
        <w:rPr>
          <w:b/>
          <w:bCs/>
          <w:color w:val="374151"/>
          <w:sz w:val="22"/>
          <w:szCs w:val="22"/>
          <w:rFonts w:ascii="Calibri" w:cs="Calibri" w:eastAsia="Calibri" w:hAnsi="Calibri"/>
        </w:rPr>
        <w:t xml:space="preserve">Versão: </w:t>
      </w:r>
      <w:r>
        <w:rPr>
          <w:color w:val="374151"/>
          <w:sz w:val="22"/>
          <w:szCs w:val="22"/>
          <w:rFonts w:ascii="Calibri" w:cs="Calibri" w:eastAsia="Calibri" w:hAnsi="Calibri"/>
        </w:rPr>
        <w:t xml:space="preserve">1.0</w:t>
      </w:r>
    </w:p>
    <w:p>
      <w:pPr>
        <w:spacing w:after="160"/>
        <w:jc w:val="center"/>
      </w:pPr>
      <w:r>
        <w:rPr>
          <w:b/>
          <w:bCs/>
          <w:color w:val="374151"/>
          <w:sz w:val="22"/>
          <w:szCs w:val="22"/>
          <w:rFonts w:ascii="Calibri" w:cs="Calibri" w:eastAsia="Calibri" w:hAnsi="Calibri"/>
        </w:rPr>
        <w:t xml:space="preserve">Data: </w:t>
      </w:r>
      <w:r>
        <w:rPr>
          <w:color w:val="374151"/>
          <w:sz w:val="22"/>
          <w:szCs w:val="22"/>
          <w:rFonts w:ascii="Calibri" w:cs="Calibri" w:eastAsia="Calibri" w:hAnsi="Calibri"/>
        </w:rPr>
        <w:t xml:space="preserve">15/09/2026</w:t>
      </w:r>
    </w:p>
    <w:p>
      <w:pPr>
        <w:spacing w:after="400"/>
        <w:jc w:val="center"/>
      </w:pPr>
      <w:r>
        <w:rPr>
          <w:b/>
          <w:bCs/>
          <w:color w:val="374151"/>
          <w:sz w:val="22"/>
          <w:szCs w:val="22"/>
          <w:rFonts w:ascii="Calibri" w:cs="Calibri" w:eastAsia="Calibri" w:hAnsi="Calibri"/>
        </w:rPr>
        <w:t xml:space="preserve">Classificação: </w:t>
      </w:r>
      <w:r>
        <w:rPr>
          <w:b/>
          <w:bCs/>
          <w:color w:val="dc2626"/>
          <w:sz w:val="22"/>
          <w:szCs w:val="22"/>
          <w:rFonts w:ascii="Calibri" w:cs="Calibri" w:eastAsia="Calibri" w:hAnsi="Calibri"/>
        </w:rPr>
        <w:t xml:space="preserve">Confidencial</w:t>
      </w:r>
    </w:p>
    <w:p>
      <w:r>
        <w:br w:type="page"/>
      </w:r>
    </w:p>
    <w:p>
      <w:pPr>
        <w:pStyle w:val="Heading2"/>
        <w:spacing w:before="320" w:after="160"/>
      </w:pPr>
      <w:r>
        <w:rPr>
          <w:b/>
          <w:bCs/>
          <w:color w:val="1e3a8a"/>
          <w:sz w:val="28"/>
          <w:szCs w:val="28"/>
          <w:rFonts w:ascii="Calibri" w:cs="Calibri" w:eastAsia="Calibri" w:hAnsi="Calibri"/>
        </w:rPr>
        <w:t xml:space="preserve">Controlo de versões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rPr>
          <w:tblHeader/>
        </w:trPr>
        <w:tc>
          <w:tcPr>
            <w:shd w:color="1e3a8a" w:val="solid"/>
            <w:vAlign w:val="center"/>
          </w:tcPr>
          <w:p>
            <w:r>
              <w:rPr>
                <w:b/>
                <w:bCs/>
                <w:color w:val="ffffff"/>
                <w:sz w:val="22"/>
                <w:szCs w:val="22"/>
                <w:rFonts w:ascii="Calibri" w:cs="Calibri" w:eastAsia="Calibri" w:hAnsi="Calibri"/>
              </w:rPr>
              <w:t xml:space="preserve">Versão</w:t>
            </w:r>
          </w:p>
        </w:tc>
        <w:tc>
          <w:tcPr>
            <w:shd w:color="1e3a8a" w:val="solid"/>
            <w:vAlign w:val="center"/>
          </w:tcPr>
          <w:p>
            <w:r>
              <w:rPr>
                <w:b/>
                <w:bCs/>
                <w:color w:val="ffffff"/>
                <w:sz w:val="22"/>
                <w:szCs w:val="22"/>
                <w:rFonts w:ascii="Calibri" w:cs="Calibri" w:eastAsia="Calibri" w:hAnsi="Calibri"/>
              </w:rPr>
              <w:t xml:space="preserve">Data</w:t>
            </w:r>
          </w:p>
        </w:tc>
        <w:tc>
          <w:tcPr>
            <w:shd w:color="1e3a8a" w:val="solid"/>
            <w:vAlign w:val="center"/>
          </w:tcPr>
          <w:p>
            <w:r>
              <w:rPr>
                <w:b/>
                <w:bCs/>
                <w:color w:val="ffffff"/>
                <w:sz w:val="22"/>
                <w:szCs w:val="22"/>
                <w:rFonts w:ascii="Calibri" w:cs="Calibri" w:eastAsia="Calibri" w:hAnsi="Calibri"/>
              </w:rPr>
              <w:t xml:space="preserve">Autor</w:t>
            </w:r>
          </w:p>
        </w:tc>
        <w:tc>
          <w:tcPr>
            <w:shd w:color="1e3a8a" w:val="solid"/>
            <w:vAlign w:val="center"/>
          </w:tcPr>
          <w:p>
            <w:r>
              <w:rPr>
                <w:b/>
                <w:bCs/>
                <w:color w:val="ffffff"/>
                <w:sz w:val="22"/>
                <w:szCs w:val="22"/>
                <w:rFonts w:ascii="Calibri" w:cs="Calibri" w:eastAsia="Calibri" w:hAnsi="Calibri"/>
              </w:rPr>
              <w:t xml:space="preserve">Alterações</w:t>
            </w:r>
          </w:p>
        </w:tc>
        <w:tc>
          <w:tcPr>
            <w:shd w:color="1e3a8a" w:val="solid"/>
            <w:vAlign w:val="center"/>
          </w:tcPr>
          <w:p>
            <w:r>
              <w:rPr>
                <w:b/>
                <w:bCs/>
                <w:color w:val="ffffff"/>
                <w:sz w:val="22"/>
                <w:szCs w:val="22"/>
                <w:rFonts w:ascii="Calibri" w:cs="Calibri" w:eastAsia="Calibri" w:hAnsi="Calibri"/>
              </w:rPr>
              <w:t xml:space="preserve">Aprovado por</w:t>
            </w:r>
          </w:p>
        </w:tc>
      </w:tr>
      <w:tr>
        <w:tc>
          <w:p>
            <w:r>
              <w:rPr>
                <w:color w:val="374151"/>
                <w:sz w:val="22"/>
                <w:szCs w:val="22"/>
                <w:rFonts w:ascii="Calibri" w:cs="Calibri" w:eastAsia="Calibri" w:hAnsi="Calibri"/>
              </w:rPr>
              <w:t xml:space="preserve">1.0</w:t>
            </w:r>
          </w:p>
        </w:tc>
        <w:tc>
          <w:p>
            <w:r>
              <w:rPr>
                <w:color w:val="374151"/>
                <w:sz w:val="22"/>
                <w:szCs w:val="22"/>
                <w:rFonts w:ascii="Calibri" w:cs="Calibri" w:eastAsia="Calibri" w:hAnsi="Calibri"/>
              </w:rPr>
            </w:r>
          </w:p>
        </w:tc>
        <w:tc>
          <w:p>
            <w:r>
              <w:rPr>
                <w:color w:val="374151"/>
                <w:sz w:val="22"/>
                <w:szCs w:val="22"/>
                <w:rFonts w:ascii="Calibri" w:cs="Calibri" w:eastAsia="Calibri" w:hAnsi="Calibri"/>
              </w:rPr>
              <w:t xml:space="preserve">[Autor]</w:t>
            </w:r>
          </w:p>
        </w:tc>
        <w:tc>
          <w:p>
            <w:r>
              <w:rPr>
                <w:color w:val="374151"/>
                <w:sz w:val="22"/>
                <w:szCs w:val="22"/>
                <w:rFonts w:ascii="Calibri" w:cs="Calibri" w:eastAsia="Calibri" w:hAnsi="Calibri"/>
              </w:rPr>
              <w:t xml:space="preserve">Versão inicial</w:t>
            </w:r>
          </w:p>
        </w:tc>
        <w:tc>
          <w:p>
            <w:r>
              <w:rPr>
                <w:color w:val="374151"/>
                <w:sz w:val="22"/>
                <w:szCs w:val="22"/>
                <w:rFonts w:ascii="Calibri" w:cs="Calibri" w:eastAsia="Calibri" w:hAnsi="Calibri"/>
              </w:rPr>
              <w:t xml:space="preserve">[Aprovador]</w:t>
            </w:r>
          </w:p>
        </w:tc>
      </w:tr>
    </w:tbl>
    <w:p>
      <w:r>
        <w:br w:type="page"/>
      </w:r>
    </w:p>
    <w:p>
      <w:pPr>
        <w:pStyle w:val="Heading1"/>
        <w:spacing w:before="400" w:after="200"/>
      </w:pPr>
      <w:r>
        <w:rPr>
          <w:b/>
          <w:bCs/>
          <w:color w:val="1e3a8a"/>
          <w:sz w:val="32"/>
          <w:szCs w:val="32"/>
          <w:rFonts w:ascii="Calibri" w:cs="Calibri" w:eastAsia="Calibri" w:hAnsi="Calibri"/>
        </w:rPr>
        <w:t xml:space="preserve">Como usar este documento</w:t>
      </w:r>
    </w:p>
    <w:p>
      <w:pPr>
        <w:spacing w:after="160"/>
      </w:pPr>
      <w:r>
        <w:rPr>
          <w:color w:val="374151"/>
          <w:sz w:val="22"/>
          <w:szCs w:val="22"/>
          <w:rFonts w:ascii="Calibri" w:cs="Calibri" w:eastAsia="Calibri" w:hAnsi="Calibri"/>
        </w:rPr>
        <w:t xml:space="preserve">Este pacote de exercício de mesa (tabletop) apoia a organização a testar, em ambiente controlado de discussão, a sua capacidade de resposta a um cenário setorial de cibersegurança, sem impactar sistemas em produção.</w:t>
      </w:r>
    </w:p>
    <w:p>
      <w:pPr>
        <w:spacing w:after="160"/>
      </w:pPr>
      <w:r>
        <w:rPr>
          <w:color w:val="374151"/>
          <w:sz w:val="22"/>
          <w:szCs w:val="22"/>
          <w:rFonts w:ascii="Calibri" w:cs="Calibri" w:eastAsia="Calibri" w:hAnsi="Calibri"/>
        </w:rPr>
        <w:t xml:space="preserve">Nota de honestidade legal: a lei não exige "exercícios de mesa" com este nome. O que a lei exige é um plano de resposta a incidentes testado (Art. 27.º n.º 1 alíneas a) e b) do DL 125/2025) e, para entidades públicas relevantes do Grupo A, a realização periódica de exercícios de phishing especificamente (Anexo IV, controlo H.EC, do Regulamento 756/2026). Este pacote é um instrumento de boa prática para operacionalizar essas obrigações genéricas — não substitui, por si só, o cumprimento de nenhuma delas, mas contribui como evidência de teste do plano de resposta a incidentes.</w:t>
      </w:r>
    </w:p>
    <w:p>
      <w:pPr>
        <w:pStyle w:val="ListParagraph"/>
        <w:numPr>
          <w:ilvl w:val="0"/>
          <w:numId w:val="1"/>
        </w:numPr>
        <w:spacing w:after="80"/>
      </w:pPr>
      <w:r>
        <w:rPr>
          <w:color w:val="374151"/>
          <w:sz w:val="22"/>
          <w:szCs w:val="22"/>
          <w:rFonts w:ascii="Calibri" w:cs="Calibri" w:eastAsia="Calibri" w:hAnsi="Calibri"/>
        </w:rPr>
        <w:t xml:space="preserve">Setor/perfil de entidade visado: Instituição de crédito (Anexo I, ponto 3 — Setor bancário, do DL 125/2025).</w:t>
      </w:r>
    </w:p>
    <w:p>
      <w:pPr>
        <w:pStyle w:val="ListParagraph"/>
        <w:numPr>
          <w:ilvl w:val="0"/>
          <w:numId w:val="1"/>
        </w:numPr>
        <w:spacing w:after="80"/>
      </w:pPr>
      <w:r>
        <w:rPr>
          <w:color w:val="374151"/>
          <w:sz w:val="22"/>
          <w:szCs w:val="22"/>
          <w:rFonts w:ascii="Calibri" w:cs="Calibri" w:eastAsia="Calibri" w:hAnsi="Calibri"/>
        </w:rPr>
        <w:t xml:space="preserve">Adaptar o cenário base e os injects à realidade concreta da organização antes da realização do exercício.</w:t>
      </w:r>
    </w:p>
    <w:p>
      <w:pPr>
        <w:pStyle w:val="ListParagraph"/>
        <w:numPr>
          <w:ilvl w:val="0"/>
          <w:numId w:val="1"/>
        </w:numPr>
        <w:spacing w:after="80"/>
      </w:pPr>
      <w:r>
        <w:rPr>
          <w:color w:val="374151"/>
          <w:sz w:val="22"/>
          <w:szCs w:val="22"/>
          <w:rFonts w:ascii="Calibri" w:cs="Calibri" w:eastAsia="Calibri" w:hAnsi="Calibri"/>
        </w:rPr>
        <w:t xml:space="preserve">Reservar entre 2 a 4 horas para a condução do exercício, mais tempo de preparação (4-6 semanas antes) e de relatório (2 semanas depois).</w:t>
      </w:r>
    </w:p>
    <w:p>
      <w:pPr>
        <w:pStyle w:val="ListParagraph"/>
        <w:numPr>
          <w:ilvl w:val="0"/>
          <w:numId w:val="1"/>
        </w:numPr>
        <w:spacing w:after="80"/>
      </w:pPr>
      <w:r>
        <w:rPr>
          <w:color w:val="374151"/>
          <w:sz w:val="22"/>
          <w:szCs w:val="22"/>
          <w:rFonts w:ascii="Calibri" w:cs="Calibri" w:eastAsia="Calibri" w:hAnsi="Calibri"/>
        </w:rPr>
        <w:t xml:space="preserve">Este pacote complementa, sem substituir, o "Template de exercício tabletop" genérico já disponível no site — usar este quando se pretende um cenário setorial pronto a adaptar; usar o genérico quando se pretende construir um cenário à medida a partir de uma biblioteca mais ampla de cenários.</w:t>
      </w:r>
    </w:p>
    <w:p>
      <w:pPr>
        <w:pStyle w:val="ListParagraph"/>
        <w:numPr>
          <w:ilvl w:val="0"/>
          <w:numId w:val="1"/>
        </w:numPr>
        <w:spacing w:after="80"/>
      </w:pPr>
      <w:r>
        <w:rPr>
          <w:color w:val="374151"/>
          <w:sz w:val="22"/>
          <w:szCs w:val="22"/>
          <w:rFonts w:ascii="Calibri" w:cs="Calibri" w:eastAsia="Calibri" w:hAnsi="Calibri"/>
        </w:rPr>
        <w:t xml:space="preserve">Usar em conjunto com a "Ficha de avaliação de significância do incidente" durante os pontos de decisão do exercício.</w:t>
      </w:r>
    </w:p>
    <w:p>
      <w:pPr>
        <w:pStyle w:val="Heading1"/>
        <w:spacing w:before="400" w:after="200"/>
      </w:pPr>
      <w:r>
        <w:rPr>
          <w:b/>
          <w:bCs/>
          <w:color w:val="1e3a8a"/>
          <w:sz w:val="32"/>
          <w:szCs w:val="32"/>
          <w:rFonts w:ascii="Calibri" w:cs="Calibri" w:eastAsia="Calibri" w:hAnsi="Calibri"/>
        </w:rPr>
        <w:t xml:space="preserve">Enquadramento legal</w:t>
      </w:r>
    </w:p>
    <w:p>
      <w:pPr>
        <w:spacing w:after="160"/>
      </w:pPr>
      <w:r>
        <w:rPr>
          <w:color w:val="374151"/>
          <w:sz w:val="22"/>
          <w:szCs w:val="22"/>
          <w:rFonts w:ascii="Calibri" w:cs="Calibri" w:eastAsia="Calibri" w:hAnsi="Calibri"/>
        </w:rPr>
        <w:t xml:space="preserve">Este pacote destina-se a instituições de crédito (Anexo I, ponto 3, do DL 125/2025). Nota essencial: uma parte significativa das instituições de crédito está também abrangida pelo Regulamento (UE) 2022/2554 (DORA), aplicável ao setor financeiro europeu desde 17 de janeiro de 2025. O DL art. 3.º n.º 9 estabelece que o regime não prejudica o DORA, e o próprio DORA (art. 1.º n.º 2) determina que, para entidades financeiras identificadas como essenciais ou importantes, ele constitui "ato jurídico setorial da União" para efeitos do art. 4.º da Diretiva (UE) 2022/2555 — ou seja, nas matérias de gestão de risco de TIC e notificação de incidentes, o DORA prevalece sobre o DL 125/2025 para essas entidades. Este exercício deve ser adaptado consoante a instituição esteja, ou não, no âmbito do DORA.</w:t>
      </w:r>
    </w:p>
    <w:p>
      <w:pPr>
        <w:shd w:color="dbeafe" w:val="solid"/>
        <w:spacing w:before="160" w:after="160"/>
        <w:ind w:left="360" w:right="360"/>
      </w:pPr>
      <w:r>
        <w:rPr>
          <w:i/>
          <w:iCs/>
          <w:color w:val="1e3a8a"/>
          <w:sz w:val="22"/>
          <w:szCs w:val="22"/>
          <w:rFonts w:ascii="Calibri" w:cs="Calibri" w:eastAsia="Calibri" w:hAnsi="Calibri"/>
        </w:rPr>
        <w:t xml:space="preserve">Art. 27.º n.º 1 do DL 125/2025 (excerto): "As medidas de cibersegurança a adotar pelas entidades essenciais e importantes [...] abrangem, designadamente, as seguintes áreas: a) Tratamento de incidentes; b) Continuidade das atividades, como a gestão de cópias de segurança e a recuperação de desastres, e gestão de crises; [...] f) Práticas básicas de ciber-higiene e formação em cibersegurança, incluindo os titulares de órgãos máximos de gestão e trabalhadores."</w:t>
      </w:r>
    </w:p>
    <w:p>
      <w:pPr>
        <w:shd w:color="dbeafe" w:val="solid"/>
        <w:spacing w:before="160" w:after="160"/>
        <w:ind w:left="360" w:right="360"/>
      </w:pPr>
      <w:r>
        <w:rPr>
          <w:i/>
          <w:iCs/>
          <w:color w:val="1e3a8a"/>
          <w:sz w:val="22"/>
          <w:szCs w:val="22"/>
          <w:rFonts w:ascii="Calibri" w:cs="Calibri" w:eastAsia="Calibri" w:hAnsi="Calibri"/>
        </w:rPr>
        <w:t xml:space="preserve">Regulamento 756/2026, Anexo III — GR.PP-2: "O Plano de Resposta a Incidentes é definido, comunicado, mantido e melhorado" — critério de verificação: "A entidade deve definir, aprovar, implementar e atualizar o Plano de Resposta a Incidentes com a devida atribuição e identificação de funções e responsabilidades."</w:t>
      </w:r>
    </w:p>
    <w:p>
      <w:pPr>
        <w:shd w:color="dbeafe" w:val="solid"/>
        <w:spacing w:before="160" w:after="160"/>
        <w:ind w:left="360" w:right="360"/>
      </w:pPr>
      <w:r>
        <w:rPr>
          <w:i/>
          <w:iCs/>
          <w:color w:val="1e3a8a"/>
          <w:sz w:val="22"/>
          <w:szCs w:val="22"/>
          <w:rFonts w:ascii="Calibri" w:cs="Calibri" w:eastAsia="Calibri" w:hAnsi="Calibri"/>
        </w:rPr>
        <w:t xml:space="preserve">Regulamento 756/2026, Anexo III — GR.CA-8: "O Plano de Resposta a Incidentes e o Plano de Recuperação de Desastres são testados com o acompanhamento dos fornecedores" (nível Elevado: "A entidade deve incluir o pessoal-chave dos fornecedores nos seus exercícios e testes.")</w:t>
      </w:r>
    </w:p>
    <w:p>
      <w:pPr>
        <w:shd w:color="dbeafe" w:val="solid"/>
        <w:spacing w:before="160" w:after="160"/>
        <w:ind w:left="360" w:right="360"/>
      </w:pPr>
      <w:r>
        <w:rPr>
          <w:i/>
          <w:iCs/>
          <w:color w:val="1e3a8a"/>
          <w:sz w:val="22"/>
          <w:szCs w:val="22"/>
          <w:rFonts w:ascii="Calibri" w:cs="Calibri" w:eastAsia="Calibri" w:hAnsi="Calibri"/>
        </w:rPr>
        <w:t xml:space="preserve">DL 125/2025, Art. 3.º n.º 9 — "O presente decreto-lei não prejudica o disposto no Regulamento (UE) 2022/2554 [...] relativo à resiliência operacional digital do setor financeiro."</w:t>
      </w:r>
    </w:p>
    <w:p>
      <w:pPr>
        <w:shd w:color="dbeafe" w:val="solid"/>
        <w:spacing w:before="160" w:after="160"/>
        <w:ind w:left="360" w:right="360"/>
      </w:pPr>
      <w:r>
        <w:rPr>
          <w:i/>
          <w:iCs/>
          <w:color w:val="1e3a8a"/>
          <w:sz w:val="22"/>
          <w:szCs w:val="22"/>
          <w:rFonts w:ascii="Calibri" w:cs="Calibri" w:eastAsia="Calibri" w:hAnsi="Calibri"/>
        </w:rPr>
        <w:t xml:space="preserve">Regulamento (UE) 2022/2554 (DORA), Art. 1.º n.º 2 — "Quanto às entidades financeiras identificadas como entidades essenciais ou importantes nos termos das regras nacionais que transpõem o artigo 3.º da Diretiva (UE) 2022/2555, considera-se que o presente regulamento constitui um ato jurídico setorial da União para efeitos do artigo 4.º da referida diretiva."</w:t>
      </w:r>
    </w:p>
    <w:p>
      <w:pPr>
        <w:spacing w:after="160"/>
      </w:pPr>
      <w:r>
        <w:rPr>
          <w:color w:val="374151"/>
          <w:sz w:val="22"/>
          <w:szCs w:val="22"/>
          <w:rFonts w:ascii="Calibri" w:cs="Calibri" w:eastAsia="Calibri" w:hAnsi="Calibri"/>
        </w:rPr>
        <w:t xml:space="preserve">Nota de aplicação prática: se a instituição bancária participante estiver abrangida pelo âmbito do DORA (art. 2.º), a notificação de incidentes de TIC segue o regime e os prazos do DORA, através do Banco de Portugal (autoridade especial de cibersegurança, DL art. 15.º n.º 2), e não o Art. 42.º do DL 125/2025 diretamente. Este exercício deve assinalar essa substituição de regime nos pontos de decisão relevantes, sem prejuízo de o exercício continuar a ser útil para testar a resposta operacional ao DDoS.</w:t>
      </w:r>
    </w:p>
    <w:p>
      <w:pPr>
        <w:spacing w:after="160"/>
      </w:pPr>
      <w:r>
        <w:rPr>
          <w:color w:val="374151"/>
          <w:sz w:val="22"/>
          <w:szCs w:val="22"/>
          <w:rFonts w:ascii="Calibri" w:cs="Calibri" w:eastAsia="Calibri" w:hAnsi="Calibri"/>
        </w:rPr>
        <w:t xml:space="preserve">Regulamento 756/2026, Anexo IV, controlo H.EC (aplicável a entidades públicas relevantes do Grupo A): "A entidade deve garantir a realização periódica de exercícios de phishing, que permitam avaliar o grau de preparação do seu pessoal", com "registo documentado dos resultados dos exercícios realizados, assim como as conclusões e iniciativas com base nesses resultados." Este controlo é específico de exercícios de phishing, distinto do exercício de mesa aqui descrito, mas do mesmo espírito de teste periódico.</w:t>
      </w:r>
    </w:p>
    <w:p>
      <w:r>
        <w:br w:type="page"/>
      </w:r>
    </w:p>
    <w:p>
      <w:pPr>
        <w:pStyle w:val="Heading1"/>
        <w:spacing w:before="400" w:after="200"/>
      </w:pPr>
      <w:r>
        <w:rPr>
          <w:b/>
          <w:bCs/>
          <w:color w:val="1e3a8a"/>
          <w:sz w:val="32"/>
          <w:szCs w:val="32"/>
          <w:rFonts w:ascii="Calibri" w:cs="Calibri" w:eastAsia="Calibri" w:hAnsi="Calibri"/>
        </w:rPr>
        <w:t xml:space="preserve">1. Objetivos de aprendizagem</w:t>
      </w:r>
    </w:p>
    <w:p>
      <w:pPr>
        <w:pStyle w:val="ListParagraph"/>
        <w:numPr>
          <w:ilvl w:val="0"/>
          <w:numId w:val="1"/>
        </w:numPr>
        <w:spacing w:after="80"/>
      </w:pPr>
      <w:r>
        <w:rPr>
          <w:color w:val="374151"/>
          <w:sz w:val="22"/>
          <w:szCs w:val="22"/>
          <w:rFonts w:ascii="Calibri" w:cs="Calibri" w:eastAsia="Calibri" w:hAnsi="Calibri"/>
        </w:rPr>
        <w:t xml:space="preserve">Testar a eficácia do plano de resposta a incidentes perante um cenário realista do setor.</w:t>
      </w:r>
    </w:p>
    <w:p>
      <w:pPr>
        <w:pStyle w:val="ListParagraph"/>
        <w:numPr>
          <w:ilvl w:val="0"/>
          <w:numId w:val="1"/>
        </w:numPr>
        <w:spacing w:after="80"/>
      </w:pPr>
      <w:r>
        <w:rPr>
          <w:color w:val="374151"/>
          <w:sz w:val="22"/>
          <w:szCs w:val="22"/>
          <w:rFonts w:ascii="Calibri" w:cs="Calibri" w:eastAsia="Calibri" w:hAnsi="Calibri"/>
        </w:rPr>
        <w:t xml:space="preserve">Identificar lacunas nos procedimentos, na comunicação e na tomada de decisão.</w:t>
      </w:r>
    </w:p>
    <w:p>
      <w:pPr>
        <w:pStyle w:val="ListParagraph"/>
        <w:numPr>
          <w:ilvl w:val="0"/>
          <w:numId w:val="1"/>
        </w:numPr>
        <w:spacing w:after="80"/>
      </w:pPr>
      <w:r>
        <w:rPr>
          <w:color w:val="374151"/>
          <w:sz w:val="22"/>
          <w:szCs w:val="22"/>
          <w:rFonts w:ascii="Calibri" w:cs="Calibri" w:eastAsia="Calibri" w:hAnsi="Calibri"/>
        </w:rPr>
        <w:t xml:space="preserve">Praticar o teste dos critérios de significância do incidente (Art. 2.º alínea l) e Art. 40.º n.º 3 do DL 125/2025) sob pressão de tempo.</w:t>
      </w:r>
    </w:p>
    <w:p>
      <w:pPr>
        <w:pStyle w:val="ListParagraph"/>
        <w:numPr>
          <w:ilvl w:val="0"/>
          <w:numId w:val="1"/>
        </w:numPr>
        <w:spacing w:after="80"/>
      </w:pPr>
      <w:r>
        <w:rPr>
          <w:color w:val="374151"/>
          <w:sz w:val="22"/>
          <w:szCs w:val="22"/>
          <w:rFonts w:ascii="Calibri" w:cs="Calibri" w:eastAsia="Calibri" w:hAnsi="Calibri"/>
        </w:rPr>
        <w:t xml:space="preserve">Praticar o relógio de notificação: 24 horas (alerta precoce, Art. 42.º), 72 horas (atualização, quando necessário, Art. 42.º n.º 3), 24 horas (fim de impacto, Art. 43.º) e 30 dias úteis (relatório final, Art. 44.º), via plataforma MyCiber.</w:t>
      </w:r>
    </w:p>
    <w:p>
      <w:pPr>
        <w:pStyle w:val="ListParagraph"/>
        <w:numPr>
          <w:ilvl w:val="0"/>
          <w:numId w:val="1"/>
        </w:numPr>
        <w:spacing w:after="80"/>
      </w:pPr>
      <w:r>
        <w:rPr>
          <w:color w:val="374151"/>
          <w:sz w:val="22"/>
          <w:szCs w:val="22"/>
          <w:rFonts w:ascii="Calibri" w:cs="Calibri" w:eastAsia="Calibri" w:hAnsi="Calibri"/>
        </w:rPr>
        <w:t xml:space="preserve">Avaliar a necessidade de notificação à CNPD (RGPD, art. 33.º, no prazo de 72 horas após ter conhecimento da violação) e, se o incidente for suscetível de resultar num elevado risco para os titulares dos dados, de comunicação a estes últimos (RGPD, art. 34.º, sem demora injustificada, sem prazo fixo).</w:t>
      </w:r>
    </w:p>
    <w:p>
      <w:pPr>
        <w:pStyle w:val="ListParagraph"/>
        <w:numPr>
          <w:ilvl w:val="0"/>
          <w:numId w:val="1"/>
        </w:numPr>
        <w:spacing w:after="80"/>
      </w:pPr>
      <w:r>
        <w:rPr>
          <w:color w:val="374151"/>
          <w:sz w:val="22"/>
          <w:szCs w:val="22"/>
          <w:rFonts w:ascii="Calibri" w:cs="Calibri" w:eastAsia="Calibri" w:hAnsi="Calibri"/>
        </w:rPr>
        <w:t xml:space="preserve">Demonstrar o envolvimento do órgão de gestão na resposta a incidentes (Art. 25.º do DL 125/2025).</w:t>
      </w:r>
    </w:p>
    <w:p>
      <w:pPr>
        <w:pStyle w:val="ListParagraph"/>
        <w:numPr>
          <w:ilvl w:val="0"/>
          <w:numId w:val="1"/>
        </w:numPr>
        <w:spacing w:after="80"/>
      </w:pPr>
      <w:r>
        <w:rPr>
          <w:color w:val="374151"/>
          <w:sz w:val="22"/>
          <w:szCs w:val="22"/>
          <w:rFonts w:ascii="Calibri" w:cs="Calibri" w:eastAsia="Calibri" w:hAnsi="Calibri"/>
        </w:rPr>
        <w:t xml:space="preserve">Gerar registo documental como evidência dos controlos GR.PP-2, GR.CA-8, RC.PR-1 e ID.MC-3 do Anexo III do Regulamento 756/2026.</w:t>
      </w:r>
    </w:p>
    <w:p>
      <w:pPr>
        <w:pStyle w:val="Heading1"/>
        <w:spacing w:before="400" w:after="200"/>
      </w:pPr>
      <w:r>
        <w:rPr>
          <w:b/>
          <w:bCs/>
          <w:color w:val="1e3a8a"/>
          <w:sz w:val="32"/>
          <w:szCs w:val="32"/>
          <w:rFonts w:ascii="Calibri" w:cs="Calibri" w:eastAsia="Calibri" w:hAnsi="Calibri"/>
        </w:rPr>
        <w:t xml:space="preserve">2. Perfil da organização e cenário base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35%"/>
            <w:shd w:color="1e3a8a" w:val="solid"/>
            <w:vAlign w:val="center"/>
          </w:tcPr>
          <w:p>
            <w:r>
              <w:rPr>
                <w:b/>
                <w:bCs/>
                <w:color w:val="ffffff"/>
                <w:sz w:val="22"/>
                <w:szCs w:val="22"/>
                <w:rFonts w:ascii="Calibri" w:cs="Calibri" w:eastAsia="Calibri" w:hAnsi="Calibri"/>
              </w:rPr>
              <w:t xml:space="preserve">Campo</w:t>
            </w:r>
          </w:p>
        </w:tc>
        <w:tc>
          <w:tcPr>
            <w:tcW w:type="pct" w:w="65%"/>
            <w:shd w:color="1e3a8a" w:val="solid"/>
            <w:vAlign w:val="center"/>
          </w:tcPr>
          <w:p>
            <w:r>
              <w:rPr>
                <w:b/>
                <w:bCs/>
                <w:color w:val="ffffff"/>
                <w:sz w:val="22"/>
                <w:szCs w:val="22"/>
                <w:rFonts w:ascii="Calibri" w:cs="Calibri" w:eastAsia="Calibri" w:hAnsi="Calibri"/>
              </w:rPr>
              <w:t xml:space="preserve">Valor</w:t>
            </w:r>
          </w:p>
        </w:tc>
      </w:tr>
      <w:tr>
        <w:tc>
          <w:tcPr>
            <w:shd w:color="f3f4f6" w:val="solid"/>
            <w:vAlign w:val="center"/>
          </w:tcPr>
          <w:p>
            <w:r>
              <w:rPr>
                <w:b w:val="false"/>
                <w:bCs w:val="false"/>
                <w:color w:val="374151"/>
                <w:sz w:val="22"/>
                <w:szCs w:val="22"/>
                <w:rFonts w:ascii="Calibri" w:cs="Calibri" w:eastAsia="Calibri" w:hAnsi="Calibri"/>
              </w:rPr>
              <w:t xml:space="preserve">Nome da organização</w:t>
            </w:r>
          </w:p>
        </w:tc>
        <w:tc>
          <w:tcPr>
            <w:vAlign w:val="center"/>
          </w:tcPr>
          <w:p>
            <w:r>
              <w:rPr>
                <w:b w:val="false"/>
                <w:bCs w:val="false"/>
                <w:color w:val="374151"/>
                <w:sz w:val="22"/>
                <w:szCs w:val="22"/>
                <w:rFonts w:ascii="Calibri" w:cs="Calibri" w:eastAsia="Calibri" w:hAnsi="Calibri"/>
              </w:rPr>
              <w:t xml:space="preserve">[Preencher]</w:t>
            </w:r>
          </w:p>
        </w:tc>
      </w:tr>
      <w:tr>
        <w:tc>
          <w:tcPr>
            <w:shd w:color="f3f4f6" w:val="solid"/>
            <w:vAlign w:val="center"/>
          </w:tcPr>
          <w:p>
            <w:r>
              <w:rPr>
                <w:b w:val="false"/>
                <w:bCs w:val="false"/>
                <w:color w:val="374151"/>
                <w:sz w:val="22"/>
                <w:szCs w:val="22"/>
                <w:rFonts w:ascii="Calibri" w:cs="Calibri" w:eastAsia="Calibri" w:hAnsi="Calibri"/>
              </w:rPr>
              <w:t xml:space="preserve">Tipo de entidade</w:t>
            </w:r>
          </w:p>
        </w:tc>
        <w:tc>
          <w:tcPr>
            <w:vAlign w:val="center"/>
          </w:tcPr>
          <w:p>
            <w:r>
              <w:rPr>
                <w:b w:val="false"/>
                <w:bCs w:val="false"/>
                <w:color w:val="374151"/>
                <w:sz w:val="22"/>
                <w:szCs w:val="22"/>
                <w:rFonts w:ascii="Calibri" w:cs="Calibri" w:eastAsia="Calibri" w:hAnsi="Calibri"/>
              </w:rPr>
              <w:t xml:space="preserve">Instituição de crédito (Anexo I, ponto 3 — Setor bancário, do DL 125/2025)</w:t>
            </w:r>
          </w:p>
        </w:tc>
      </w:tr>
      <w:tr>
        <w:tc>
          <w:tcPr>
            <w:shd w:color="f3f4f6" w:val="solid"/>
            <w:vAlign w:val="center"/>
          </w:tcPr>
          <w:p>
            <w:r>
              <w:rPr>
                <w:b w:val="false"/>
                <w:bCs w:val="false"/>
                <w:color w:val="374151"/>
                <w:sz w:val="22"/>
                <w:szCs w:val="22"/>
                <w:rFonts w:ascii="Calibri" w:cs="Calibri" w:eastAsia="Calibri" w:hAnsi="Calibri"/>
              </w:rPr>
              <w:t xml:space="preserve">Data do exercício</w:t>
            </w:r>
          </w:p>
        </w:tc>
        <w:tc>
          <w:tcPr>
            <w:vAlign w:val="center"/>
          </w:tcPr>
          <w:p>
            <w:r>
              <w:rPr>
                <w:b w:val="false"/>
                <w:bCs w:val="false"/>
                <w:color w:val="374151"/>
                <w:sz w:val="22"/>
                <w:szCs w:val="22"/>
                <w:rFonts w:ascii="Calibri" w:cs="Calibri" w:eastAsia="Calibri" w:hAnsi="Calibri"/>
              </w:rPr>
              <w:t xml:space="preserve">[DD/MM/AAAA]</w:t>
            </w:r>
          </w:p>
        </w:tc>
      </w:tr>
      <w:tr>
        <w:tc>
          <w:tcPr>
            <w:shd w:color="f3f4f6" w:val="solid"/>
            <w:vAlign w:val="center"/>
          </w:tcPr>
          <w:p>
            <w:r>
              <w:rPr>
                <w:b w:val="false"/>
                <w:bCs w:val="false"/>
                <w:color w:val="374151"/>
                <w:sz w:val="22"/>
                <w:szCs w:val="22"/>
                <w:rFonts w:ascii="Calibri" w:cs="Calibri" w:eastAsia="Calibri" w:hAnsi="Calibri"/>
              </w:rPr>
              <w:t xml:space="preserve">Duração prevista</w:t>
            </w:r>
          </w:p>
        </w:tc>
        <w:tc>
          <w:tcPr>
            <w:vAlign w:val="center"/>
          </w:tcPr>
          <w:p>
            <w:r>
              <w:rPr>
                <w:b w:val="false"/>
                <w:bCs w:val="false"/>
                <w:color w:val="374151"/>
                <w:sz w:val="22"/>
                <w:szCs w:val="22"/>
                <w:rFonts w:ascii="Calibri" w:cs="Calibri" w:eastAsia="Calibri" w:hAnsi="Calibri"/>
              </w:rPr>
              <w:t xml:space="preserve">[2 a 4 horas]</w:t>
            </w:r>
          </w:p>
        </w:tc>
      </w:tr>
      <w:tr>
        <w:tc>
          <w:tcPr>
            <w:shd w:color="f3f4f6" w:val="solid"/>
            <w:vAlign w:val="center"/>
          </w:tcPr>
          <w:p>
            <w:r>
              <w:rPr>
                <w:b w:val="false"/>
                <w:bCs w:val="false"/>
                <w:color w:val="374151"/>
                <w:sz w:val="22"/>
                <w:szCs w:val="22"/>
                <w:rFonts w:ascii="Calibri" w:cs="Calibri" w:eastAsia="Calibri" w:hAnsi="Calibri"/>
              </w:rPr>
              <w:t xml:space="preserve">Facilitador</w:t>
            </w:r>
          </w:p>
        </w:tc>
        <w:tc>
          <w:tcPr>
            <w:vAlign w:val="center"/>
          </w:tcPr>
          <w:p>
            <w:r>
              <w:rPr>
                <w:b w:val="false"/>
                <w:bCs w:val="false"/>
                <w:color w:val="374151"/>
                <w:sz w:val="22"/>
                <w:szCs w:val="22"/>
                <w:rFonts w:ascii="Calibri" w:cs="Calibri" w:eastAsia="Calibri" w:hAnsi="Calibri"/>
              </w:rPr>
              <w:t xml:space="preserve">[Nome]</w:t>
            </w:r>
          </w:p>
        </w:tc>
      </w:tr>
      <w:tr>
        <w:tc>
          <w:tcPr>
            <w:shd w:color="f3f4f6" w:val="solid"/>
            <w:vAlign w:val="center"/>
          </w:tcPr>
          <w:p>
            <w:r>
              <w:rPr>
                <w:b w:val="false"/>
                <w:bCs w:val="false"/>
                <w:color w:val="374151"/>
                <w:sz w:val="22"/>
                <w:szCs w:val="22"/>
                <w:rFonts w:ascii="Calibri" w:cs="Calibri" w:eastAsia="Calibri" w:hAnsi="Calibri"/>
              </w:rPr>
              <w:t xml:space="preserve">Observador independente</w:t>
            </w:r>
          </w:p>
        </w:tc>
        <w:tc>
          <w:tcPr>
            <w:vAlign w:val="center"/>
          </w:tcPr>
          <w:p>
            <w:r>
              <w:rPr>
                <w:b w:val="false"/>
                <w:bCs w:val="false"/>
                <w:color w:val="374151"/>
                <w:sz w:val="22"/>
                <w:szCs w:val="22"/>
                <w:rFonts w:ascii="Calibri" w:cs="Calibri" w:eastAsia="Calibri" w:hAnsi="Calibri"/>
              </w:rPr>
              <w:t xml:space="preserve">[Nome]</w:t>
            </w:r>
          </w:p>
        </w:tc>
      </w:tr>
    </w:tbl>
    <w:p>
      <w:pPr>
        <w:spacing w:after="160"/>
      </w:pPr>
      <w:r>
        <w:rPr>
          <w:color w:val="374151"/>
          <w:sz w:val="22"/>
          <w:szCs w:val="22"/>
          <w:rFonts w:ascii="Calibri" w:cs="Calibri" w:eastAsia="Calibri" w:hAnsi="Calibri"/>
        </w:rPr>
        <w:t xml:space="preserve">[Preencher com o contexto real da organização.] Durante um período de elevado volume de transações (ex.: início do mês, período de pagamento de salários), o serviço de homebanking e a aplicação móvel da instituição ficam intermitentemente inacessíveis. A equipa de infraestrutura confirma um ataque de negação de serviço distribuída (DDoS) de grande volume dirigido aos serviços digitais voltados para o cliente.</w:t>
      </w:r>
    </w:p>
    <w:p>
      <w:pPr>
        <w:pStyle w:val="Heading1"/>
        <w:spacing w:before="400" w:after="200"/>
      </w:pPr>
      <w:r>
        <w:rPr>
          <w:b/>
          <w:bCs/>
          <w:color w:val="1e3a8a"/>
          <w:sz w:val="32"/>
          <w:szCs w:val="32"/>
          <w:rFonts w:ascii="Calibri" w:cs="Calibri" w:eastAsia="Calibri" w:hAnsi="Calibri"/>
        </w:rPr>
        <w:t xml:space="preserve">3. Papéis e participantes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W w:type="pct" w:w="30%"/>
            <w:shd w:color="1e3a8a" w:val="solid"/>
            <w:vAlign w:val="center"/>
          </w:tcPr>
          <w:p>
            <w:r>
              <w:rPr>
                <w:b/>
                <w:bCs/>
                <w:color w:val="ffffff"/>
                <w:sz w:val="22"/>
                <w:szCs w:val="22"/>
                <w:rFonts w:ascii="Calibri" w:cs="Calibri" w:eastAsia="Calibri" w:hAnsi="Calibri"/>
              </w:rPr>
              <w:t xml:space="preserve">Função</w:t>
            </w:r>
          </w:p>
        </w:tc>
        <w:tc>
          <w:tcPr>
            <w:tcW w:type="pct" w:w="45%"/>
            <w:shd w:color="1e3a8a" w:val="solid"/>
            <w:vAlign w:val="center"/>
          </w:tcPr>
          <w:p>
            <w:r>
              <w:rPr>
                <w:b/>
                <w:bCs/>
                <w:color w:val="ffffff"/>
                <w:sz w:val="22"/>
                <w:szCs w:val="22"/>
                <w:rFonts w:ascii="Calibri" w:cs="Calibri" w:eastAsia="Calibri" w:hAnsi="Calibri"/>
              </w:rPr>
              <w:t xml:space="preserve">Papel no exercício</w:t>
            </w:r>
          </w:p>
        </w:tc>
        <w:tc>
          <w:tcPr>
            <w:tcW w:type="pct" w:w="25%"/>
            <w:shd w:color="1e3a8a" w:val="solid"/>
            <w:vAlign w:val="center"/>
          </w:tcPr>
          <w:p>
            <w:r>
              <w:rPr>
                <w:b/>
                <w:bCs/>
                <w:color w:val="ffffff"/>
                <w:sz w:val="22"/>
                <w:szCs w:val="22"/>
                <w:rFonts w:ascii="Calibri" w:cs="Calibri" w:eastAsia="Calibri" w:hAnsi="Calibri"/>
              </w:rPr>
              <w:t xml:space="preserve">Participante (preencher)</w:t>
            </w:r>
          </w:p>
        </w:tc>
      </w:tr>
      <w:tr>
        <w:tc>
          <w:tcPr>
            <w:shd w:color="f3f4f6" w:val="solid"/>
            <w:vAlign w:val="center"/>
          </w:tcPr>
          <w:p>
            <w:r>
              <w:rPr>
                <w:b w:val="false"/>
                <w:bCs w:val="false"/>
                <w:color w:val="374151"/>
                <w:sz w:val="22"/>
                <w:szCs w:val="22"/>
                <w:rFonts w:ascii="Calibri" w:cs="Calibri" w:eastAsia="Calibri" w:hAnsi="Calibri"/>
              </w:rPr>
              <w:t xml:space="preserve">Facilitador</w:t>
            </w:r>
          </w:p>
        </w:tc>
        <w:tc>
          <w:tcPr>
            <w:vAlign w:val="center"/>
          </w:tcPr>
          <w:p>
            <w:r>
              <w:rPr>
                <w:b w:val="false"/>
                <w:bCs w:val="false"/>
                <w:color w:val="374151"/>
                <w:sz w:val="22"/>
                <w:szCs w:val="22"/>
                <w:rFonts w:ascii="Calibri" w:cs="Calibri" w:eastAsia="Calibri" w:hAnsi="Calibri"/>
              </w:rPr>
              <w:t xml:space="preserve">Conduz o exercício, apresenta os injects, gere o tempo</w:t>
            </w:r>
          </w:p>
        </w:tc>
        <w:tc>
          <w:tcPr>
            <w:vAlign w:val="center"/>
          </w:tcPr>
          <w:p>
            <w:r>
              <w:rPr>
                <w:b w:val="false"/>
                <w:bCs w:val="false"/>
                <w:color w:val="374151"/>
                <w:sz w:val="22"/>
                <w:szCs w:val="22"/>
                <w:rFonts w:ascii="Calibri" w:cs="Calibri" w:eastAsia="Calibri" w:hAnsi="Calibri"/>
              </w:rPr>
              <w:t xml:space="preserve">[Nome]</w:t>
            </w:r>
          </w:p>
        </w:tc>
      </w:tr>
      <w:tr>
        <w:tc>
          <w:tcPr>
            <w:shd w:color="f3f4f6" w:val="solid"/>
            <w:vAlign w:val="center"/>
          </w:tcPr>
          <w:p>
            <w:r>
              <w:rPr>
                <w:b w:val="false"/>
                <w:bCs w:val="false"/>
                <w:color w:val="374151"/>
                <w:sz w:val="22"/>
                <w:szCs w:val="22"/>
                <w:rFonts w:ascii="Calibri" w:cs="Calibri" w:eastAsia="Calibri" w:hAnsi="Calibri"/>
              </w:rPr>
              <w:t xml:space="preserve">Observador independente</w:t>
            </w:r>
          </w:p>
        </w:tc>
        <w:tc>
          <w:tcPr>
            <w:vAlign w:val="center"/>
          </w:tcPr>
          <w:p>
            <w:r>
              <w:rPr>
                <w:b w:val="false"/>
                <w:bCs w:val="false"/>
                <w:color w:val="374151"/>
                <w:sz w:val="22"/>
                <w:szCs w:val="22"/>
                <w:rFonts w:ascii="Calibri" w:cs="Calibri" w:eastAsia="Calibri" w:hAnsi="Calibri"/>
              </w:rPr>
              <w:t xml:space="preserve">Regista observações para o relatório pós-exercício, sem participar nas decisões</w:t>
            </w:r>
          </w:p>
        </w:tc>
        <w:tc>
          <w:tcPr>
            <w:vAlign w:val="center"/>
          </w:tcPr>
          <w:p>
            <w:r>
              <w:rPr>
                <w:b w:val="false"/>
                <w:bCs w:val="false"/>
                <w:color w:val="374151"/>
                <w:sz w:val="22"/>
                <w:szCs w:val="22"/>
                <w:rFonts w:ascii="Calibri" w:cs="Calibri" w:eastAsia="Calibri" w:hAnsi="Calibri"/>
              </w:rPr>
              <w:t xml:space="preserve">[Nome]</w:t>
            </w:r>
          </w:p>
        </w:tc>
      </w:tr>
      <w:tr>
        <w:tc>
          <w:tcPr>
            <w:shd w:color="f3f4f6" w:val="solid"/>
            <w:vAlign w:val="center"/>
          </w:tcPr>
          <w:p>
            <w:r>
              <w:rPr>
                <w:b w:val="false"/>
                <w:bCs w:val="false"/>
                <w:color w:val="374151"/>
                <w:sz w:val="22"/>
                <w:szCs w:val="22"/>
                <w:rFonts w:ascii="Calibri" w:cs="Calibri" w:eastAsia="Calibri" w:hAnsi="Calibri"/>
              </w:rPr>
              <w:t xml:space="preserve">Órgão de gestão / C-Level</w:t>
            </w:r>
          </w:p>
        </w:tc>
        <w:tc>
          <w:tcPr>
            <w:vAlign w:val="center"/>
          </w:tcPr>
          <w:p>
            <w:r>
              <w:rPr>
                <w:b w:val="false"/>
                <w:bCs w:val="false"/>
                <w:color w:val="374151"/>
                <w:sz w:val="22"/>
                <w:szCs w:val="22"/>
                <w:rFonts w:ascii="Calibri" w:cs="Calibri" w:eastAsia="Calibri" w:hAnsi="Calibri"/>
              </w:rPr>
              <w:t xml:space="preserve">Toma decisões estratégicas (comunicação pública, pagamento de resgate, ativação de crise)</w:t>
            </w:r>
          </w:p>
        </w:tc>
        <w:tc>
          <w:tcPr>
            <w:vAlign w:val="center"/>
          </w:tcPr>
          <w:p>
            <w:r>
              <w:rPr>
                <w:b w:val="false"/>
                <w:bCs w:val="false"/>
                <w:color w:val="374151"/>
                <w:sz w:val="22"/>
                <w:szCs w:val="22"/>
                <w:rFonts w:ascii="Calibri" w:cs="Calibri" w:eastAsia="Calibri" w:hAnsi="Calibri"/>
              </w:rPr>
              <w:t xml:space="preserve">[Nome]</w:t>
            </w:r>
          </w:p>
        </w:tc>
      </w:tr>
      <w:tr>
        <w:tc>
          <w:tcPr>
            <w:shd w:color="f3f4f6" w:val="solid"/>
            <w:vAlign w:val="center"/>
          </w:tcPr>
          <w:p>
            <w:r>
              <w:rPr>
                <w:b w:val="false"/>
                <w:bCs w:val="false"/>
                <w:color w:val="374151"/>
                <w:sz w:val="22"/>
                <w:szCs w:val="22"/>
                <w:rFonts w:ascii="Calibri" w:cs="Calibri" w:eastAsia="Calibri" w:hAnsi="Calibri"/>
              </w:rPr>
              <w:t xml:space="preserve">Responsável de cibersegurança (Art. 31.º)</w:t>
            </w:r>
          </w:p>
        </w:tc>
        <w:tc>
          <w:tcPr>
            <w:vAlign w:val="center"/>
          </w:tcPr>
          <w:p>
            <w:r>
              <w:rPr>
                <w:b w:val="false"/>
                <w:bCs w:val="false"/>
                <w:color w:val="374151"/>
                <w:sz w:val="22"/>
                <w:szCs w:val="22"/>
                <w:rFonts w:ascii="Calibri" w:cs="Calibri" w:eastAsia="Calibri" w:hAnsi="Calibri"/>
              </w:rPr>
              <w:t xml:space="preserve">Coordena a resposta técnica e a avaliação de significância</w:t>
            </w:r>
          </w:p>
        </w:tc>
        <w:tc>
          <w:tcPr>
            <w:vAlign w:val="center"/>
          </w:tcPr>
          <w:p>
            <w:r>
              <w:rPr>
                <w:b w:val="false"/>
                <w:bCs w:val="false"/>
                <w:color w:val="374151"/>
                <w:sz w:val="22"/>
                <w:szCs w:val="22"/>
                <w:rFonts w:ascii="Calibri" w:cs="Calibri" w:eastAsia="Calibri" w:hAnsi="Calibri"/>
              </w:rPr>
              <w:t xml:space="preserve">[Nome]</w:t>
            </w:r>
          </w:p>
        </w:tc>
      </w:tr>
      <w:tr>
        <w:tc>
          <w:tcPr>
            <w:shd w:color="f3f4f6" w:val="solid"/>
            <w:vAlign w:val="center"/>
          </w:tcPr>
          <w:p>
            <w:r>
              <w:rPr>
                <w:b w:val="false"/>
                <w:bCs w:val="false"/>
                <w:color w:val="374151"/>
                <w:sz w:val="22"/>
                <w:szCs w:val="22"/>
                <w:rFonts w:ascii="Calibri" w:cs="Calibri" w:eastAsia="Calibri" w:hAnsi="Calibri"/>
              </w:rPr>
              <w:t xml:space="preserve">Ponto de contacto permanente (Art. 32.º)</w:t>
            </w:r>
          </w:p>
        </w:tc>
        <w:tc>
          <w:tcPr>
            <w:vAlign w:val="center"/>
          </w:tcPr>
          <w:p>
            <w:r>
              <w:rPr>
                <w:b w:val="false"/>
                <w:bCs w:val="false"/>
                <w:color w:val="374151"/>
                <w:sz w:val="22"/>
                <w:szCs w:val="22"/>
                <w:rFonts w:ascii="Calibri" w:cs="Calibri" w:eastAsia="Calibri" w:hAnsi="Calibri"/>
              </w:rPr>
              <w:t xml:space="preserve">Interface com o CNCS e submissão das notificações na plataforma MyCiber</w:t>
            </w:r>
          </w:p>
        </w:tc>
        <w:tc>
          <w:tcPr>
            <w:vAlign w:val="center"/>
          </w:tcPr>
          <w:p>
            <w:r>
              <w:rPr>
                <w:b w:val="false"/>
                <w:bCs w:val="false"/>
                <w:color w:val="374151"/>
                <w:sz w:val="22"/>
                <w:szCs w:val="22"/>
                <w:rFonts w:ascii="Calibri" w:cs="Calibri" w:eastAsia="Calibri" w:hAnsi="Calibri"/>
              </w:rPr>
              <w:t xml:space="preserve">[Nome]</w:t>
            </w:r>
          </w:p>
        </w:tc>
      </w:tr>
      <w:tr>
        <w:tc>
          <w:tcPr>
            <w:shd w:color="f3f4f6" w:val="solid"/>
            <w:vAlign w:val="center"/>
          </w:tcPr>
          <w:p>
            <w:r>
              <w:rPr>
                <w:b w:val="false"/>
                <w:bCs w:val="false"/>
                <w:color w:val="374151"/>
                <w:sz w:val="22"/>
                <w:szCs w:val="22"/>
                <w:rFonts w:ascii="Calibri" w:cs="Calibri" w:eastAsia="Calibri" w:hAnsi="Calibri"/>
              </w:rPr>
              <w:t xml:space="preserve">Comunicação/relações públicas</w:t>
            </w:r>
          </w:p>
        </w:tc>
        <w:tc>
          <w:tcPr>
            <w:vAlign w:val="center"/>
          </w:tcPr>
          <w:p>
            <w:r>
              <w:rPr>
                <w:b w:val="false"/>
                <w:bCs w:val="false"/>
                <w:color w:val="374151"/>
                <w:sz w:val="22"/>
                <w:szCs w:val="22"/>
                <w:rFonts w:ascii="Calibri" w:cs="Calibri" w:eastAsia="Calibri" w:hAnsi="Calibri"/>
              </w:rPr>
              <w:t xml:space="preserve">Gere a comunicação externa (media, clientes, redes sociais)</w:t>
            </w:r>
          </w:p>
        </w:tc>
        <w:tc>
          <w:tcPr>
            <w:vAlign w:val="center"/>
          </w:tcPr>
          <w:p>
            <w:r>
              <w:rPr>
                <w:b w:val="false"/>
                <w:bCs w:val="false"/>
                <w:color w:val="374151"/>
                <w:sz w:val="22"/>
                <w:szCs w:val="22"/>
                <w:rFonts w:ascii="Calibri" w:cs="Calibri" w:eastAsia="Calibri" w:hAnsi="Calibri"/>
              </w:rPr>
              <w:t xml:space="preserve">[Nome]</w:t>
            </w:r>
          </w:p>
        </w:tc>
      </w:tr>
      <w:tr>
        <w:tc>
          <w:tcPr>
            <w:shd w:color="f3f4f6" w:val="solid"/>
            <w:vAlign w:val="center"/>
          </w:tcPr>
          <w:p>
            <w:r>
              <w:rPr>
                <w:b w:val="false"/>
                <w:bCs w:val="false"/>
                <w:color w:val="374151"/>
                <w:sz w:val="22"/>
                <w:szCs w:val="22"/>
                <w:rFonts w:ascii="Calibri" w:cs="Calibri" w:eastAsia="Calibri" w:hAnsi="Calibri"/>
              </w:rPr>
              <w:t xml:space="preserve">Jurídico/DPO</w:t>
            </w:r>
          </w:p>
        </w:tc>
        <w:tc>
          <w:tcPr>
            <w:vAlign w:val="center"/>
          </w:tcPr>
          <w:p>
            <w:r>
              <w:rPr>
                <w:b w:val="false"/>
                <w:bCs w:val="false"/>
                <w:color w:val="374151"/>
                <w:sz w:val="22"/>
                <w:szCs w:val="22"/>
                <w:rFonts w:ascii="Calibri" w:cs="Calibri" w:eastAsia="Calibri" w:hAnsi="Calibri"/>
              </w:rPr>
              <w:t xml:space="preserve">Avalia obrigações legais adicionais, incluindo eventual notificação à CNPD</w:t>
            </w:r>
          </w:p>
        </w:tc>
        <w:tc>
          <w:tcPr>
            <w:vAlign w:val="center"/>
          </w:tcPr>
          <w:p>
            <w:r>
              <w:rPr>
                <w:b w:val="false"/>
                <w:bCs w:val="false"/>
                <w:color w:val="374151"/>
                <w:sz w:val="22"/>
                <w:szCs w:val="22"/>
                <w:rFonts w:ascii="Calibri" w:cs="Calibri" w:eastAsia="Calibri" w:hAnsi="Calibri"/>
              </w:rPr>
              <w:t xml:space="preserve">[Nome]</w:t>
            </w:r>
          </w:p>
        </w:tc>
      </w:tr>
      <w:tr>
        <w:tc>
          <w:tcPr>
            <w:shd w:color="f3f4f6" w:val="solid"/>
            <w:vAlign w:val="center"/>
          </w:tcPr>
          <w:p>
            <w:r>
              <w:rPr>
                <w:b w:val="false"/>
                <w:bCs w:val="false"/>
                <w:color w:val="374151"/>
                <w:sz w:val="22"/>
                <w:szCs w:val="22"/>
                <w:rFonts w:ascii="Calibri" w:cs="Calibri" w:eastAsia="Calibri" w:hAnsi="Calibri"/>
              </w:rPr>
              <w:t xml:space="preserve">Operações/TI ou OT</w:t>
            </w:r>
          </w:p>
        </w:tc>
        <w:tc>
          <w:tcPr>
            <w:vAlign w:val="center"/>
          </w:tcPr>
          <w:p>
            <w:r>
              <w:rPr>
                <w:b w:val="false"/>
                <w:bCs w:val="false"/>
                <w:color w:val="374151"/>
                <w:sz w:val="22"/>
                <w:szCs w:val="22"/>
                <w:rFonts w:ascii="Calibri" w:cs="Calibri" w:eastAsia="Calibri" w:hAnsi="Calibri"/>
              </w:rPr>
              <w:t xml:space="preserve">Representa as equipas técnicas responsáveis pelos sistemas afetados</w:t>
            </w:r>
          </w:p>
        </w:tc>
        <w:tc>
          <w:tcPr>
            <w:vAlign w:val="center"/>
          </w:tcPr>
          <w:p>
            <w:r>
              <w:rPr>
                <w:b w:val="false"/>
                <w:bCs w:val="false"/>
                <w:color w:val="374151"/>
                <w:sz w:val="22"/>
                <w:szCs w:val="22"/>
                <w:rFonts w:ascii="Calibri" w:cs="Calibri" w:eastAsia="Calibri" w:hAnsi="Calibri"/>
              </w:rPr>
              <w:t xml:space="preserve">[Nome]</w:t>
            </w:r>
          </w:p>
        </w:tc>
      </w:tr>
    </w:tbl>
    <w:p>
      <w:r>
        <w:br w:type="page"/>
      </w:r>
    </w:p>
    <w:p>
      <w:pPr>
        <w:pStyle w:val="Heading1"/>
        <w:spacing w:before="400" w:after="200"/>
      </w:pPr>
      <w:r>
        <w:rPr>
          <w:b/>
          <w:bCs/>
          <w:color w:val="1e3a8a"/>
          <w:sz w:val="32"/>
          <w:szCs w:val="32"/>
          <w:rFonts w:ascii="Calibri" w:cs="Calibri" w:eastAsia="Calibri" w:hAnsi="Calibri"/>
        </w:rPr>
        <w:t xml:space="preserve">4. Sequência de injects e pontos de decisão</w:t>
      </w:r>
    </w:p>
    <w:p>
      <w:pPr>
        <w:spacing w:after="160"/>
      </w:pPr>
      <w:r>
        <w:rPr>
          <w:color w:val="374151"/>
          <w:sz w:val="22"/>
          <w:szCs w:val="22"/>
          <w:rFonts w:ascii="Calibri" w:cs="Calibri" w:eastAsia="Calibri" w:hAnsi="Calibri"/>
        </w:rPr>
        <w:t xml:space="preserve">A tabela seguinte apresenta a sequência de eventos simulados (injects) a introduzir durante o exercício, com o horário simulado (T) e a decisão que os participantes devem tomar em cada ponto. O facilitador introduz cada inject apenas depois de o grupo ter esgotado a discussão do anterior, ou ao horário simulado previsto, consoante o formato escolhido.</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W w:type="pct" w:w="15%"/>
            <w:shd w:color="1e3a8a" w:val="solid"/>
            <w:vAlign w:val="center"/>
          </w:tcPr>
          <w:p>
            <w:r>
              <w:rPr>
                <w:b/>
                <w:bCs/>
                <w:color w:val="ffffff"/>
                <w:sz w:val="22"/>
                <w:szCs w:val="22"/>
                <w:rFonts w:ascii="Calibri" w:cs="Calibri" w:eastAsia="Calibri" w:hAnsi="Calibri"/>
              </w:rPr>
              <w:t xml:space="preserve">T (horário simulado)</w:t>
            </w:r>
          </w:p>
        </w:tc>
        <w:tc>
          <w:tcPr>
            <w:tcW w:type="pct" w:w="45%"/>
            <w:shd w:color="1e3a8a" w:val="solid"/>
            <w:vAlign w:val="center"/>
          </w:tcPr>
          <w:p>
            <w:r>
              <w:rPr>
                <w:b/>
                <w:bCs/>
                <w:color w:val="ffffff"/>
                <w:sz w:val="22"/>
                <w:szCs w:val="22"/>
                <w:rFonts w:ascii="Calibri" w:cs="Calibri" w:eastAsia="Calibri" w:hAnsi="Calibri"/>
              </w:rPr>
              <w:t xml:space="preserve">Inject (evento introduzido)</w:t>
            </w:r>
          </w:p>
        </w:tc>
        <w:tc>
          <w:tcPr>
            <w:tcW w:type="pct" w:w="40%"/>
            <w:shd w:color="1e3a8a" w:val="solid"/>
            <w:vAlign w:val="center"/>
          </w:tcPr>
          <w:p>
            <w:r>
              <w:rPr>
                <w:b/>
                <w:bCs/>
                <w:color w:val="ffffff"/>
                <w:sz w:val="22"/>
                <w:szCs w:val="22"/>
                <w:rFonts w:ascii="Calibri" w:cs="Calibri" w:eastAsia="Calibri" w:hAnsi="Calibri"/>
              </w:rPr>
              <w:t xml:space="preserve">Decisão exigida aos participantes</w:t>
            </w:r>
          </w:p>
        </w:tc>
      </w:tr>
      <w:tr>
        <w:tc>
          <w:tcPr>
            <w:shd w:color="f3f4f6" w:val="solid"/>
            <w:vAlign w:val="center"/>
          </w:tcPr>
          <w:p>
            <w:r>
              <w:rPr>
                <w:b w:val="false"/>
                <w:bCs w:val="false"/>
                <w:color w:val="374151"/>
                <w:sz w:val="22"/>
                <w:szCs w:val="22"/>
                <w:rFonts w:ascii="Calibri" w:cs="Calibri" w:eastAsia="Calibri" w:hAnsi="Calibri"/>
              </w:rPr>
              <w:t xml:space="preserve">T+0</w:t>
            </w:r>
          </w:p>
        </w:tc>
        <w:tc>
          <w:tcPr>
            <w:vAlign w:val="center"/>
          </w:tcPr>
          <w:p>
            <w:r>
              <w:rPr>
                <w:b w:val="false"/>
                <w:bCs w:val="false"/>
                <w:color w:val="374151"/>
                <w:sz w:val="22"/>
                <w:szCs w:val="22"/>
                <w:rFonts w:ascii="Calibri" w:cs="Calibri" w:eastAsia="Calibri" w:hAnsi="Calibri"/>
              </w:rPr>
              <w:t xml:space="preserve">Homebanking e app móvel apresentam lentidão extrema e períodos de indisponibilidade total.</w:t>
            </w:r>
          </w:p>
        </w:tc>
        <w:tc>
          <w:tcPr>
            <w:vAlign w:val="center"/>
          </w:tcPr>
          <w:p>
            <w:r>
              <w:rPr>
                <w:b w:val="false"/>
                <w:bCs w:val="false"/>
                <w:color w:val="374151"/>
                <w:sz w:val="22"/>
                <w:szCs w:val="22"/>
                <w:rFonts w:ascii="Calibri" w:cs="Calibri" w:eastAsia="Calibri" w:hAnsi="Calibri"/>
              </w:rPr>
              <w:t xml:space="preserve">Ativar o plano de resposta a incidentes. Quando acionar mecanismos de mitigação de DDoS (scrubbing)?</w:t>
            </w:r>
          </w:p>
        </w:tc>
      </w:tr>
      <w:tr>
        <w:tc>
          <w:tcPr>
            <w:shd w:color="f3f4f6" w:val="solid"/>
            <w:vAlign w:val="center"/>
          </w:tcPr>
          <w:p>
            <w:r>
              <w:rPr>
                <w:b w:val="false"/>
                <w:bCs w:val="false"/>
                <w:color w:val="374151"/>
                <w:sz w:val="22"/>
                <w:szCs w:val="22"/>
                <w:rFonts w:ascii="Calibri" w:cs="Calibri" w:eastAsia="Calibri" w:hAnsi="Calibri"/>
              </w:rPr>
              <w:t xml:space="preserve">T+30 min</w:t>
            </w:r>
          </w:p>
        </w:tc>
        <w:tc>
          <w:tcPr>
            <w:vAlign w:val="center"/>
          </w:tcPr>
          <w:p>
            <w:r>
              <w:rPr>
                <w:b w:val="false"/>
                <w:bCs w:val="false"/>
                <w:color w:val="374151"/>
                <w:sz w:val="22"/>
                <w:szCs w:val="22"/>
                <w:rFonts w:ascii="Calibri" w:cs="Calibri" w:eastAsia="Calibri" w:hAnsi="Calibri"/>
              </w:rPr>
              <w:t xml:space="preserve">Clientes publicam queixas em redes sociais sobre a indisponibilidade do homebanking.</w:t>
            </w:r>
          </w:p>
        </w:tc>
        <w:tc>
          <w:tcPr>
            <w:vAlign w:val="center"/>
          </w:tcPr>
          <w:p>
            <w:r>
              <w:rPr>
                <w:b w:val="false"/>
                <w:bCs w:val="false"/>
                <w:color w:val="374151"/>
                <w:sz w:val="22"/>
                <w:szCs w:val="22"/>
                <w:rFonts w:ascii="Calibri" w:cs="Calibri" w:eastAsia="Calibri" w:hAnsi="Calibri"/>
              </w:rPr>
              <w:t xml:space="preserve">Quem comunica publicamente? Qual é o canal (redes sociais, site institucional, agências)?</w:t>
            </w:r>
          </w:p>
        </w:tc>
      </w:tr>
      <w:tr>
        <w:tc>
          <w:tcPr>
            <w:shd w:color="f3f4f6" w:val="solid"/>
            <w:vAlign w:val="center"/>
          </w:tcPr>
          <w:p>
            <w:r>
              <w:rPr>
                <w:b w:val="false"/>
                <w:bCs w:val="false"/>
                <w:color w:val="374151"/>
                <w:sz w:val="22"/>
                <w:szCs w:val="22"/>
                <w:rFonts w:ascii="Calibri" w:cs="Calibri" w:eastAsia="Calibri" w:hAnsi="Calibri"/>
              </w:rPr>
              <w:t xml:space="preserve">T+1h</w:t>
            </w:r>
          </w:p>
        </w:tc>
        <w:tc>
          <w:tcPr>
            <w:vAlign w:val="center"/>
          </w:tcPr>
          <w:p>
            <w:r>
              <w:rPr>
                <w:b w:val="false"/>
                <w:bCs w:val="false"/>
                <w:color w:val="374151"/>
                <w:sz w:val="22"/>
                <w:szCs w:val="22"/>
                <w:rFonts w:ascii="Calibri" w:cs="Calibri" w:eastAsia="Calibri" w:hAnsi="Calibri"/>
              </w:rPr>
              <w:t xml:space="preserve">A equipa confirma que o ataque é volumétrico e não parece envolver exfiltração de dados.</w:t>
            </w:r>
          </w:p>
        </w:tc>
        <w:tc>
          <w:tcPr>
            <w:vAlign w:val="center"/>
          </w:tcPr>
          <w:p>
            <w:r>
              <w:rPr>
                <w:b w:val="false"/>
                <w:bCs w:val="false"/>
                <w:color w:val="374151"/>
                <w:sz w:val="22"/>
                <w:szCs w:val="22"/>
                <w:rFonts w:ascii="Calibri" w:cs="Calibri" w:eastAsia="Calibri" w:hAnsi="Calibri"/>
              </w:rPr>
              <w:t xml:space="preserve">Determinar se a instituição está no âmbito do DORA. Em caso afirmativo, qual o regime de notificação aplicável em vez do Art. 42.º do DL 125/2025?</w:t>
            </w:r>
          </w:p>
        </w:tc>
      </w:tr>
      <w:tr>
        <w:tc>
          <w:tcPr>
            <w:shd w:color="f3f4f6" w:val="solid"/>
            <w:vAlign w:val="center"/>
          </w:tcPr>
          <w:p>
            <w:r>
              <w:rPr>
                <w:b w:val="false"/>
                <w:bCs w:val="false"/>
                <w:color w:val="374151"/>
                <w:sz w:val="22"/>
                <w:szCs w:val="22"/>
                <w:rFonts w:ascii="Calibri" w:cs="Calibri" w:eastAsia="Calibri" w:hAnsi="Calibri"/>
              </w:rPr>
              <w:t xml:space="preserve">T+2h</w:t>
            </w:r>
          </w:p>
        </w:tc>
        <w:tc>
          <w:tcPr>
            <w:vAlign w:val="center"/>
          </w:tcPr>
          <w:p>
            <w:r>
              <w:rPr>
                <w:b w:val="false"/>
                <w:bCs w:val="false"/>
                <w:color w:val="374151"/>
                <w:sz w:val="22"/>
                <w:szCs w:val="22"/>
                <w:rFonts w:ascii="Calibri" w:cs="Calibri" w:eastAsia="Calibri" w:hAnsi="Calibri"/>
              </w:rPr>
              <w:t xml:space="preserve">É necessário decidir se o evento constitui "incidente significativo" para efeitos do regime aplicável (DORA ou DL 125/2025, consoante o caso).</w:t>
            </w:r>
          </w:p>
        </w:tc>
        <w:tc>
          <w:tcPr>
            <w:vAlign w:val="center"/>
          </w:tcPr>
          <w:p>
            <w:r>
              <w:rPr>
                <w:b w:val="false"/>
                <w:bCs w:val="false"/>
                <w:color w:val="374151"/>
                <w:sz w:val="22"/>
                <w:szCs w:val="22"/>
                <w:rFonts w:ascii="Calibri" w:cs="Calibri" w:eastAsia="Calibri" w:hAnsi="Calibri"/>
              </w:rPr>
              <w:t xml:space="preserve">Se aplicável o DL 125/2025 (instituição fora do âmbito do DORA ou entidade do grupo não abrangida): usar a ficha de avaliação de significância do incidente.</w:t>
            </w:r>
          </w:p>
        </w:tc>
      </w:tr>
      <w:tr>
        <w:tc>
          <w:tcPr>
            <w:shd w:color="f3f4f6" w:val="solid"/>
            <w:vAlign w:val="center"/>
          </w:tcPr>
          <w:p>
            <w:r>
              <w:rPr>
                <w:b w:val="false"/>
                <w:bCs w:val="false"/>
                <w:color w:val="374151"/>
                <w:sz w:val="22"/>
                <w:szCs w:val="22"/>
                <w:rFonts w:ascii="Calibri" w:cs="Calibri" w:eastAsia="Calibri" w:hAnsi="Calibri"/>
              </w:rPr>
              <w:t xml:space="preserve">T+3h</w:t>
            </w:r>
          </w:p>
        </w:tc>
        <w:tc>
          <w:tcPr>
            <w:vAlign w:val="center"/>
          </w:tcPr>
          <w:p>
            <w:r>
              <w:rPr>
                <w:b w:val="false"/>
                <w:bCs w:val="false"/>
                <w:color w:val="374151"/>
                <w:sz w:val="22"/>
                <w:szCs w:val="22"/>
                <w:rFonts w:ascii="Calibri" w:cs="Calibri" w:eastAsia="Calibri" w:hAnsi="Calibri"/>
              </w:rPr>
              <w:t xml:space="preserve">O serviço de apoio ao cliente é inundado de contactos sobre indisponibilidade de pagamentos.</w:t>
            </w:r>
          </w:p>
        </w:tc>
        <w:tc>
          <w:tcPr>
            <w:vAlign w:val="center"/>
          </w:tcPr>
          <w:p>
            <w:r>
              <w:rPr>
                <w:b w:val="false"/>
                <w:bCs w:val="false"/>
                <w:color w:val="374151"/>
                <w:sz w:val="22"/>
                <w:szCs w:val="22"/>
                <w:rFonts w:ascii="Calibri" w:cs="Calibri" w:eastAsia="Calibri" w:hAnsi="Calibri"/>
              </w:rPr>
              <w:t xml:space="preserve">Como comunicar aos destinatários dos serviços as medidas que podem adotar (Art. 23.º n.º 2 da Diretiva, refletido na comunicação a clientes)?</w:t>
            </w:r>
          </w:p>
        </w:tc>
      </w:tr>
      <w:tr>
        <w:tc>
          <w:tcPr>
            <w:shd w:color="f3f4f6" w:val="solid"/>
            <w:vAlign w:val="center"/>
          </w:tcPr>
          <w:p>
            <w:r>
              <w:rPr>
                <w:b w:val="false"/>
                <w:bCs w:val="false"/>
                <w:color w:val="374151"/>
                <w:sz w:val="22"/>
                <w:szCs w:val="22"/>
                <w:rFonts w:ascii="Calibri" w:cs="Calibri" w:eastAsia="Calibri" w:hAnsi="Calibri"/>
              </w:rPr>
              <w:t xml:space="preserve">T+4h</w:t>
            </w:r>
          </w:p>
        </w:tc>
        <w:tc>
          <w:tcPr>
            <w:vAlign w:val="center"/>
          </w:tcPr>
          <w:p>
            <w:r>
              <w:rPr>
                <w:b w:val="false"/>
                <w:bCs w:val="false"/>
                <w:color w:val="374151"/>
                <w:sz w:val="22"/>
                <w:szCs w:val="22"/>
                <w:rFonts w:ascii="Calibri" w:cs="Calibri" w:eastAsia="Calibri" w:hAnsi="Calibri"/>
              </w:rPr>
              <w:t xml:space="preserve">O ataque diminui de intensidade após ativação de mitigação; o serviço é gradualmente restabelecido.</w:t>
            </w:r>
          </w:p>
        </w:tc>
        <w:tc>
          <w:tcPr>
            <w:vAlign w:val="center"/>
          </w:tcPr>
          <w:p>
            <w:r>
              <w:rPr>
                <w:b w:val="false"/>
                <w:bCs w:val="false"/>
                <w:color w:val="374151"/>
                <w:sz w:val="22"/>
                <w:szCs w:val="22"/>
                <w:rFonts w:ascii="Calibri" w:cs="Calibri" w:eastAsia="Calibri" w:hAnsi="Calibri"/>
              </w:rPr>
              <w:t xml:space="preserve">Registar o momento de restabelecimento para efeitos de eventual notificação de fim de impacto, se aplicável ao regime em causa.</w:t>
            </w:r>
          </w:p>
        </w:tc>
      </w:tr>
      <w:tr>
        <w:tc>
          <w:tcPr>
            <w:shd w:color="f3f4f6" w:val="solid"/>
            <w:vAlign w:val="center"/>
          </w:tcPr>
          <w:p>
            <w:r>
              <w:rPr>
                <w:b w:val="false"/>
                <w:bCs w:val="false"/>
                <w:color w:val="374151"/>
                <w:sz w:val="22"/>
                <w:szCs w:val="22"/>
                <w:rFonts w:ascii="Calibri" w:cs="Calibri" w:eastAsia="Calibri" w:hAnsi="Calibri"/>
              </w:rPr>
              <w:t xml:space="preserve">T+1 dia</w:t>
            </w:r>
          </w:p>
        </w:tc>
        <w:tc>
          <w:tcPr>
            <w:vAlign w:val="center"/>
          </w:tcPr>
          <w:p>
            <w:r>
              <w:rPr>
                <w:b w:val="false"/>
                <w:bCs w:val="false"/>
                <w:color w:val="374151"/>
                <w:sz w:val="22"/>
                <w:szCs w:val="22"/>
                <w:rFonts w:ascii="Calibri" w:cs="Calibri" w:eastAsia="Calibri" w:hAnsi="Calibri"/>
              </w:rPr>
              <w:t xml:space="preserve">A administração pede um resumo executivo do incidente e do impacto reputacional.</w:t>
            </w:r>
          </w:p>
        </w:tc>
        <w:tc>
          <w:tcPr>
            <w:vAlign w:val="center"/>
          </w:tcPr>
          <w:p>
            <w:r>
              <w:rPr>
                <w:b w:val="false"/>
                <w:bCs w:val="false"/>
                <w:color w:val="374151"/>
                <w:sz w:val="22"/>
                <w:szCs w:val="22"/>
                <w:rFonts w:ascii="Calibri" w:cs="Calibri" w:eastAsia="Calibri" w:hAnsi="Calibri"/>
              </w:rPr>
              <w:t xml:space="preserve">Preparar o sumário para o órgão de gestão (Art. 25.º do DL 125/2025, ou equivalente de governação no DORA).</w:t>
            </w:r>
          </w:p>
        </w:tc>
      </w:tr>
    </w:tbl>
    <w:p>
      <w:pPr>
        <w:pStyle w:val="Heading1"/>
        <w:spacing w:before="400" w:after="200"/>
      </w:pPr>
      <w:r>
        <w:rPr>
          <w:b/>
          <w:bCs/>
          <w:color w:val="1e3a8a"/>
          <w:sz w:val="32"/>
          <w:szCs w:val="32"/>
          <w:rFonts w:ascii="Calibri" w:cs="Calibri" w:eastAsia="Calibri" w:hAnsi="Calibri"/>
        </w:rPr>
        <w:t xml:space="preserve">5. Grelha de avaliação</w:t>
      </w:r>
    </w:p>
    <w:p>
      <w:pPr>
        <w:spacing w:after="160"/>
      </w:pPr>
      <w:r>
        <w:rPr>
          <w:color w:val="374151"/>
          <w:sz w:val="22"/>
          <w:szCs w:val="22"/>
          <w:rFonts w:ascii="Calibri" w:cs="Calibri" w:eastAsia="Calibri" w:hAnsi="Calibri"/>
        </w:rPr>
        <w:t xml:space="preserve">O observador independente preenche esta grelha durante e imediatamente após o exercício (critérios de boa prática, não exigências legais nomeadas).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tcW w:type="pct" w:w="22%"/>
            <w:shd w:color="1e3a8a" w:val="solid"/>
            <w:vAlign w:val="center"/>
          </w:tcPr>
          <w:p>
            <w:r>
              <w:rPr>
                <w:b/>
                <w:bCs/>
                <w:color w:val="ffffff"/>
                <w:sz w:val="22"/>
                <w:szCs w:val="22"/>
                <w:rFonts w:ascii="Calibri" w:cs="Calibri" w:eastAsia="Calibri" w:hAnsi="Calibri"/>
              </w:rPr>
              <w:t xml:space="preserve">Critério</w:t>
            </w:r>
          </w:p>
        </w:tc>
        <w:tc>
          <w:tcPr>
            <w:tcW w:type="pct" w:w="45%"/>
            <w:shd w:color="1e3a8a" w:val="solid"/>
            <w:vAlign w:val="center"/>
          </w:tcPr>
          <w:p>
            <w:r>
              <w:rPr>
                <w:b/>
                <w:bCs/>
                <w:color w:val="ffffff"/>
                <w:sz w:val="22"/>
                <w:szCs w:val="22"/>
                <w:rFonts w:ascii="Calibri" w:cs="Calibri" w:eastAsia="Calibri" w:hAnsi="Calibri"/>
              </w:rPr>
              <w:t xml:space="preserve">Pergunta de avaliação</w:t>
            </w:r>
          </w:p>
        </w:tc>
        <w:tc>
          <w:tcPr>
            <w:tcW w:type="pct" w:w="10%"/>
            <w:shd w:color="1e3a8a" w:val="solid"/>
            <w:vAlign w:val="center"/>
          </w:tcPr>
          <w:p>
            <w:r>
              <w:rPr>
                <w:b/>
                <w:bCs/>
                <w:color w:val="ffffff"/>
                <w:sz w:val="22"/>
                <w:szCs w:val="22"/>
                <w:rFonts w:ascii="Calibri" w:cs="Calibri" w:eastAsia="Calibri" w:hAnsi="Calibri"/>
              </w:rPr>
              <w:t xml:space="preserve">Nota (1-5)</w:t>
            </w:r>
          </w:p>
        </w:tc>
        <w:tc>
          <w:tcPr>
            <w:tcW w:type="pct" w:w="23%"/>
            <w:shd w:color="1e3a8a" w:val="solid"/>
            <w:vAlign w:val="center"/>
          </w:tcPr>
          <w:p>
            <w:r>
              <w:rPr>
                <w:b/>
                <w:bCs/>
                <w:color w:val="ffffff"/>
                <w:sz w:val="22"/>
                <w:szCs w:val="22"/>
                <w:rFonts w:ascii="Calibri" w:cs="Calibri" w:eastAsia="Calibri" w:hAnsi="Calibri"/>
              </w:rPr>
              <w:t xml:space="preserve">Observações</w:t>
            </w:r>
          </w:p>
        </w:tc>
      </w:tr>
      <w:tr>
        <w:tc>
          <w:tcPr>
            <w:shd w:color="f3f4f6" w:val="solid"/>
            <w:vAlign w:val="center"/>
          </w:tcPr>
          <w:p>
            <w:r>
              <w:rPr>
                <w:b w:val="false"/>
                <w:bCs w:val="false"/>
                <w:color w:val="374151"/>
                <w:sz w:val="22"/>
                <w:szCs w:val="22"/>
                <w:rFonts w:ascii="Calibri" w:cs="Calibri" w:eastAsia="Calibri" w:hAnsi="Calibri"/>
              </w:rPr>
              <w:t xml:space="preserve">Tempo até à deteção</w:t>
            </w:r>
          </w:p>
        </w:tc>
        <w:tc>
          <w:tcPr>
            <w:vAlign w:val="center"/>
          </w:tcPr>
          <w:p>
            <w:r>
              <w:rPr>
                <w:b w:val="false"/>
                <w:bCs w:val="false"/>
                <w:color w:val="374151"/>
                <w:sz w:val="22"/>
                <w:szCs w:val="22"/>
                <w:rFonts w:ascii="Calibri" w:cs="Calibri" w:eastAsia="Calibri" w:hAnsi="Calibri"/>
              </w:rPr>
              <w:t xml:space="preserve">Quanto tempo decorreu entre o início do incidente (simulado) e a sua deteção?</w:t>
            </w:r>
          </w:p>
        </w:tc>
        <w:tc>
          <w:tcPr>
            <w:vAlign w:val="center"/>
          </w:tcPr>
          <w:p>
            <w:r>
              <w:rPr>
                <w:b w:val="false"/>
                <w:bCs w:val="false"/>
                <w:color w:val="374151"/>
                <w:sz w:val="22"/>
                <w:szCs w:val="22"/>
                <w:rFonts w:ascii="Calibri" w:cs="Calibri" w:eastAsia="Calibri" w:hAnsi="Calibri"/>
              </w:rPr>
            </w:r>
          </w:p>
        </w:tc>
        <w:tc>
          <w:tcPr>
            <w:vAlign w:val="center"/>
          </w:tcPr>
          <w:p>
            <w:r>
              <w:rPr>
                <w:b w:val="false"/>
                <w:bCs w:val="false"/>
                <w:color w:val="374151"/>
                <w:sz w:val="22"/>
                <w:szCs w:val="22"/>
                <w:rFonts w:ascii="Calibri" w:cs="Calibri" w:eastAsia="Calibri" w:hAnsi="Calibri"/>
              </w:rPr>
            </w:r>
          </w:p>
        </w:tc>
      </w:tr>
      <w:tr>
        <w:tc>
          <w:tcPr>
            <w:shd w:color="f3f4f6" w:val="solid"/>
            <w:vAlign w:val="center"/>
          </w:tcPr>
          <w:p>
            <w:r>
              <w:rPr>
                <w:b w:val="false"/>
                <w:bCs w:val="false"/>
                <w:color w:val="374151"/>
                <w:sz w:val="22"/>
                <w:szCs w:val="22"/>
                <w:rFonts w:ascii="Calibri" w:cs="Calibri" w:eastAsia="Calibri" w:hAnsi="Calibri"/>
              </w:rPr>
              <w:t xml:space="preserve">Tempo até à decisão de notificar</w:t>
            </w:r>
          </w:p>
        </w:tc>
        <w:tc>
          <w:tcPr>
            <w:vAlign w:val="center"/>
          </w:tcPr>
          <w:p>
            <w:r>
              <w:rPr>
                <w:b w:val="false"/>
                <w:bCs w:val="false"/>
                <w:color w:val="374151"/>
                <w:sz w:val="22"/>
                <w:szCs w:val="22"/>
                <w:rFonts w:ascii="Calibri" w:cs="Calibri" w:eastAsia="Calibri" w:hAnsi="Calibri"/>
              </w:rPr>
              <w:t xml:space="preserve">Quanto tempo decorreu até à decisão de que se trata de um incidente significativo (ver ficha de avaliação de significância)?</w:t>
            </w:r>
          </w:p>
        </w:tc>
        <w:tc>
          <w:tcPr>
            <w:vAlign w:val="center"/>
          </w:tcPr>
          <w:p>
            <w:r>
              <w:rPr>
                <w:b w:val="false"/>
                <w:bCs w:val="false"/>
                <w:color w:val="374151"/>
                <w:sz w:val="22"/>
                <w:szCs w:val="22"/>
                <w:rFonts w:ascii="Calibri" w:cs="Calibri" w:eastAsia="Calibri" w:hAnsi="Calibri"/>
              </w:rPr>
            </w:r>
          </w:p>
        </w:tc>
        <w:tc>
          <w:tcPr>
            <w:vAlign w:val="center"/>
          </w:tcPr>
          <w:p>
            <w:r>
              <w:rPr>
                <w:b w:val="false"/>
                <w:bCs w:val="false"/>
                <w:color w:val="374151"/>
                <w:sz w:val="22"/>
                <w:szCs w:val="22"/>
                <w:rFonts w:ascii="Calibri" w:cs="Calibri" w:eastAsia="Calibri" w:hAnsi="Calibri"/>
              </w:rPr>
            </w:r>
          </w:p>
        </w:tc>
      </w:tr>
      <w:tr>
        <w:tc>
          <w:tcPr>
            <w:shd w:color="f3f4f6" w:val="solid"/>
            <w:vAlign w:val="center"/>
          </w:tcPr>
          <w:p>
            <w:r>
              <w:rPr>
                <w:b w:val="false"/>
                <w:bCs w:val="false"/>
                <w:color w:val="374151"/>
                <w:sz w:val="22"/>
                <w:szCs w:val="22"/>
                <w:rFonts w:ascii="Calibri" w:cs="Calibri" w:eastAsia="Calibri" w:hAnsi="Calibri"/>
              </w:rPr>
              <w:t xml:space="preserve">Cumprimento do relógio de notificação</w:t>
            </w:r>
          </w:p>
        </w:tc>
        <w:tc>
          <w:tcPr>
            <w:vAlign w:val="center"/>
          </w:tcPr>
          <w:p>
            <w:r>
              <w:rPr>
                <w:b w:val="false"/>
                <w:bCs w:val="false"/>
                <w:color w:val="374151"/>
                <w:sz w:val="22"/>
                <w:szCs w:val="22"/>
                <w:rFonts w:ascii="Calibri" w:cs="Calibri" w:eastAsia="Calibri" w:hAnsi="Calibri"/>
              </w:rPr>
              <w:t xml:space="preserve">A equipa identificou corretamente os prazos de 24h (alerta precoce), 72h (atualização), 24h (fim de impacto) e 30 dias úteis (relatório final) via MyCiber?</w:t>
            </w:r>
          </w:p>
        </w:tc>
        <w:tc>
          <w:tcPr>
            <w:vAlign w:val="center"/>
          </w:tcPr>
          <w:p>
            <w:r>
              <w:rPr>
                <w:b w:val="false"/>
                <w:bCs w:val="false"/>
                <w:color w:val="374151"/>
                <w:sz w:val="22"/>
                <w:szCs w:val="22"/>
                <w:rFonts w:ascii="Calibri" w:cs="Calibri" w:eastAsia="Calibri" w:hAnsi="Calibri"/>
              </w:rPr>
            </w:r>
          </w:p>
        </w:tc>
        <w:tc>
          <w:tcPr>
            <w:vAlign w:val="center"/>
          </w:tcPr>
          <w:p>
            <w:r>
              <w:rPr>
                <w:b w:val="false"/>
                <w:bCs w:val="false"/>
                <w:color w:val="374151"/>
                <w:sz w:val="22"/>
                <w:szCs w:val="22"/>
                <w:rFonts w:ascii="Calibri" w:cs="Calibri" w:eastAsia="Calibri" w:hAnsi="Calibri"/>
              </w:rPr>
            </w:r>
          </w:p>
        </w:tc>
      </w:tr>
      <w:tr>
        <w:tc>
          <w:tcPr>
            <w:shd w:color="f3f4f6" w:val="solid"/>
            <w:vAlign w:val="center"/>
          </w:tcPr>
          <w:p>
            <w:r>
              <w:rPr>
                <w:b w:val="false"/>
                <w:bCs w:val="false"/>
                <w:color w:val="374151"/>
                <w:sz w:val="22"/>
                <w:szCs w:val="22"/>
                <w:rFonts w:ascii="Calibri" w:cs="Calibri" w:eastAsia="Calibri" w:hAnsi="Calibri"/>
              </w:rPr>
              <w:t xml:space="preserve">Clareza da cadeia de decisão</w:t>
            </w:r>
          </w:p>
        </w:tc>
        <w:tc>
          <w:tcPr>
            <w:vAlign w:val="center"/>
          </w:tcPr>
          <w:p>
            <w:r>
              <w:rPr>
                <w:b w:val="false"/>
                <w:bCs w:val="false"/>
                <w:color w:val="374151"/>
                <w:sz w:val="22"/>
                <w:szCs w:val="22"/>
                <w:rFonts w:ascii="Calibri" w:cs="Calibri" w:eastAsia="Calibri" w:hAnsi="Calibri"/>
              </w:rPr>
              <w:t xml:space="preserve">Estava claro quem decide se o evento é um incidente significativo?</w:t>
            </w:r>
          </w:p>
        </w:tc>
        <w:tc>
          <w:tcPr>
            <w:vAlign w:val="center"/>
          </w:tcPr>
          <w:p>
            <w:r>
              <w:rPr>
                <w:b w:val="false"/>
                <w:bCs w:val="false"/>
                <w:color w:val="374151"/>
                <w:sz w:val="22"/>
                <w:szCs w:val="22"/>
                <w:rFonts w:ascii="Calibri" w:cs="Calibri" w:eastAsia="Calibri" w:hAnsi="Calibri"/>
              </w:rPr>
            </w:r>
          </w:p>
        </w:tc>
        <w:tc>
          <w:tcPr>
            <w:vAlign w:val="center"/>
          </w:tcPr>
          <w:p>
            <w:r>
              <w:rPr>
                <w:b w:val="false"/>
                <w:bCs w:val="false"/>
                <w:color w:val="374151"/>
                <w:sz w:val="22"/>
                <w:szCs w:val="22"/>
                <w:rFonts w:ascii="Calibri" w:cs="Calibri" w:eastAsia="Calibri" w:hAnsi="Calibri"/>
              </w:rPr>
            </w:r>
          </w:p>
        </w:tc>
      </w:tr>
      <w:tr>
        <w:tc>
          <w:tcPr>
            <w:shd w:color="f3f4f6" w:val="solid"/>
            <w:vAlign w:val="center"/>
          </w:tcPr>
          <w:p>
            <w:r>
              <w:rPr>
                <w:b w:val="false"/>
                <w:bCs w:val="false"/>
                <w:color w:val="374151"/>
                <w:sz w:val="22"/>
                <w:szCs w:val="22"/>
                <w:rFonts w:ascii="Calibri" w:cs="Calibri" w:eastAsia="Calibri" w:hAnsi="Calibri"/>
              </w:rPr>
              <w:t xml:space="preserve">Comunicação interna</w:t>
            </w:r>
          </w:p>
        </w:tc>
        <w:tc>
          <w:tcPr>
            <w:vAlign w:val="center"/>
          </w:tcPr>
          <w:p>
            <w:r>
              <w:rPr>
                <w:b w:val="false"/>
                <w:bCs w:val="false"/>
                <w:color w:val="374151"/>
                <w:sz w:val="22"/>
                <w:szCs w:val="22"/>
                <w:rFonts w:ascii="Calibri" w:cs="Calibri" w:eastAsia="Calibri" w:hAnsi="Calibri"/>
              </w:rPr>
              <w:t xml:space="preserve">A informação circulou eficazmente entre as equipas envolvidas?</w:t>
            </w:r>
          </w:p>
        </w:tc>
        <w:tc>
          <w:tcPr>
            <w:vAlign w:val="center"/>
          </w:tcPr>
          <w:p>
            <w:r>
              <w:rPr>
                <w:b w:val="false"/>
                <w:bCs w:val="false"/>
                <w:color w:val="374151"/>
                <w:sz w:val="22"/>
                <w:szCs w:val="22"/>
                <w:rFonts w:ascii="Calibri" w:cs="Calibri" w:eastAsia="Calibri" w:hAnsi="Calibri"/>
              </w:rPr>
            </w:r>
          </w:p>
        </w:tc>
        <w:tc>
          <w:tcPr>
            <w:vAlign w:val="center"/>
          </w:tcPr>
          <w:p>
            <w:r>
              <w:rPr>
                <w:b w:val="false"/>
                <w:bCs w:val="false"/>
                <w:color w:val="374151"/>
                <w:sz w:val="22"/>
                <w:szCs w:val="22"/>
                <w:rFonts w:ascii="Calibri" w:cs="Calibri" w:eastAsia="Calibri" w:hAnsi="Calibri"/>
              </w:rPr>
            </w:r>
          </w:p>
        </w:tc>
      </w:tr>
      <w:tr>
        <w:tc>
          <w:tcPr>
            <w:shd w:color="f3f4f6" w:val="solid"/>
            <w:vAlign w:val="center"/>
          </w:tcPr>
          <w:p>
            <w:r>
              <w:rPr>
                <w:b w:val="false"/>
                <w:bCs w:val="false"/>
                <w:color w:val="374151"/>
                <w:sz w:val="22"/>
                <w:szCs w:val="22"/>
                <w:rFonts w:ascii="Calibri" w:cs="Calibri" w:eastAsia="Calibri" w:hAnsi="Calibri"/>
              </w:rPr>
              <w:t xml:space="preserve">Comunicação externa</w:t>
            </w:r>
          </w:p>
        </w:tc>
        <w:tc>
          <w:tcPr>
            <w:vAlign w:val="center"/>
          </w:tcPr>
          <w:p>
            <w:r>
              <w:rPr>
                <w:b w:val="false"/>
                <w:bCs w:val="false"/>
                <w:color w:val="374151"/>
                <w:sz w:val="22"/>
                <w:szCs w:val="22"/>
                <w:rFonts w:ascii="Calibri" w:cs="Calibri" w:eastAsia="Calibri" w:hAnsi="Calibri"/>
              </w:rPr>
              <w:t xml:space="preserve">A comunicação a clientes/destinatários dos serviços e à imprensa foi apropriada e atempada?</w:t>
            </w:r>
          </w:p>
        </w:tc>
        <w:tc>
          <w:tcPr>
            <w:vAlign w:val="center"/>
          </w:tcPr>
          <w:p>
            <w:r>
              <w:rPr>
                <w:b w:val="false"/>
                <w:bCs w:val="false"/>
                <w:color w:val="374151"/>
                <w:sz w:val="22"/>
                <w:szCs w:val="22"/>
                <w:rFonts w:ascii="Calibri" w:cs="Calibri" w:eastAsia="Calibri" w:hAnsi="Calibri"/>
              </w:rPr>
            </w:r>
          </w:p>
        </w:tc>
        <w:tc>
          <w:tcPr>
            <w:vAlign w:val="center"/>
          </w:tcPr>
          <w:p>
            <w:r>
              <w:rPr>
                <w:b w:val="false"/>
                <w:bCs w:val="false"/>
                <w:color w:val="374151"/>
                <w:sz w:val="22"/>
                <w:szCs w:val="22"/>
                <w:rFonts w:ascii="Calibri" w:cs="Calibri" w:eastAsia="Calibri" w:hAnsi="Calibri"/>
              </w:rPr>
            </w:r>
          </w:p>
        </w:tc>
      </w:tr>
      <w:tr>
        <w:tc>
          <w:tcPr>
            <w:shd w:color="f3f4f6" w:val="solid"/>
            <w:vAlign w:val="center"/>
          </w:tcPr>
          <w:p>
            <w:r>
              <w:rPr>
                <w:b w:val="false"/>
                <w:bCs w:val="false"/>
                <w:color w:val="374151"/>
                <w:sz w:val="22"/>
                <w:szCs w:val="22"/>
                <w:rFonts w:ascii="Calibri" w:cs="Calibri" w:eastAsia="Calibri" w:hAnsi="Calibri"/>
              </w:rPr>
              <w:t xml:space="preserve">Envolvimento do órgão de gestão</w:t>
            </w:r>
          </w:p>
        </w:tc>
        <w:tc>
          <w:tcPr>
            <w:vAlign w:val="center"/>
          </w:tcPr>
          <w:p>
            <w:r>
              <w:rPr>
                <w:b w:val="false"/>
                <w:bCs w:val="false"/>
                <w:color w:val="374151"/>
                <w:sz w:val="22"/>
                <w:szCs w:val="22"/>
                <w:rFonts w:ascii="Calibri" w:cs="Calibri" w:eastAsia="Calibri" w:hAnsi="Calibri"/>
              </w:rPr>
              <w:t xml:space="preserve">O órgão de gestão foi envolvido de forma adequada e atempada (Art. 25.º)?</w:t>
            </w:r>
          </w:p>
        </w:tc>
        <w:tc>
          <w:tcPr>
            <w:vAlign w:val="center"/>
          </w:tcPr>
          <w:p>
            <w:r>
              <w:rPr>
                <w:b w:val="false"/>
                <w:bCs w:val="false"/>
                <w:color w:val="374151"/>
                <w:sz w:val="22"/>
                <w:szCs w:val="22"/>
                <w:rFonts w:ascii="Calibri" w:cs="Calibri" w:eastAsia="Calibri" w:hAnsi="Calibri"/>
              </w:rPr>
            </w:r>
          </w:p>
        </w:tc>
        <w:tc>
          <w:tcPr>
            <w:vAlign w:val="center"/>
          </w:tcPr>
          <w:p>
            <w:r>
              <w:rPr>
                <w:b w:val="false"/>
                <w:bCs w:val="false"/>
                <w:color w:val="374151"/>
                <w:sz w:val="22"/>
                <w:szCs w:val="22"/>
                <w:rFonts w:ascii="Calibri" w:cs="Calibri" w:eastAsia="Calibri" w:hAnsi="Calibri"/>
              </w:rPr>
            </w:r>
          </w:p>
        </w:tc>
      </w:tr>
      <w:tr>
        <w:tc>
          <w:tcPr>
            <w:shd w:color="f3f4f6" w:val="solid"/>
            <w:vAlign w:val="center"/>
          </w:tcPr>
          <w:p>
            <w:r>
              <w:rPr>
                <w:b w:val="false"/>
                <w:bCs w:val="false"/>
                <w:color w:val="374151"/>
                <w:sz w:val="22"/>
                <w:szCs w:val="22"/>
                <w:rFonts w:ascii="Calibri" w:cs="Calibri" w:eastAsia="Calibri" w:hAnsi="Calibri"/>
              </w:rPr>
              <w:t xml:space="preserve">Notificação dupla (dados pessoais)</w:t>
            </w:r>
          </w:p>
        </w:tc>
        <w:tc>
          <w:tcPr>
            <w:vAlign w:val="center"/>
          </w:tcPr>
          <w:p>
            <w:r>
              <w:rPr>
                <w:b w:val="false"/>
                <w:bCs w:val="false"/>
                <w:color w:val="374151"/>
                <w:sz w:val="22"/>
                <w:szCs w:val="22"/>
                <w:rFonts w:ascii="Calibri" w:cs="Calibri" w:eastAsia="Calibri" w:hAnsi="Calibri"/>
              </w:rPr>
              <w:t xml:space="preserve">Foi corretamente identificada a necessidade, ou não, de notificação à CNPD (RGPD, art. 33.º, 72 horas)?</w:t>
            </w:r>
          </w:p>
        </w:tc>
        <w:tc>
          <w:tcPr>
            <w:vAlign w:val="center"/>
          </w:tcPr>
          <w:p>
            <w:r>
              <w:rPr>
                <w:b w:val="false"/>
                <w:bCs w:val="false"/>
                <w:color w:val="374151"/>
                <w:sz w:val="22"/>
                <w:szCs w:val="22"/>
                <w:rFonts w:ascii="Calibri" w:cs="Calibri" w:eastAsia="Calibri" w:hAnsi="Calibri"/>
              </w:rPr>
            </w:r>
          </w:p>
        </w:tc>
        <w:tc>
          <w:tcPr>
            <w:vAlign w:val="center"/>
          </w:tcPr>
          <w:p>
            <w:r>
              <w:rPr>
                <w:b w:val="false"/>
                <w:bCs w:val="false"/>
                <w:color w:val="374151"/>
                <w:sz w:val="22"/>
                <w:szCs w:val="22"/>
                <w:rFonts w:ascii="Calibri" w:cs="Calibri" w:eastAsia="Calibri" w:hAnsi="Calibri"/>
              </w:rPr>
            </w:r>
          </w:p>
        </w:tc>
      </w:tr>
      <w:tr>
        <w:tc>
          <w:tcPr>
            <w:shd w:color="f3f4f6" w:val="solid"/>
            <w:vAlign w:val="center"/>
          </w:tcPr>
          <w:p>
            <w:r>
              <w:rPr>
                <w:b w:val="false"/>
                <w:bCs w:val="false"/>
                <w:color w:val="374151"/>
                <w:sz w:val="22"/>
                <w:szCs w:val="22"/>
                <w:rFonts w:ascii="Calibri" w:cs="Calibri" w:eastAsia="Calibri" w:hAnsi="Calibri"/>
              </w:rPr>
              <w:t xml:space="preserve">Registo documental</w:t>
            </w:r>
          </w:p>
        </w:tc>
        <w:tc>
          <w:tcPr>
            <w:vAlign w:val="center"/>
          </w:tcPr>
          <w:p>
            <w:r>
              <w:rPr>
                <w:b w:val="false"/>
                <w:bCs w:val="false"/>
                <w:color w:val="374151"/>
                <w:sz w:val="22"/>
                <w:szCs w:val="22"/>
                <w:rFonts w:ascii="Calibri" w:cs="Calibri" w:eastAsia="Calibri" w:hAnsi="Calibri"/>
              </w:rPr>
              <w:t xml:space="preserve">Foi gerado registo documental suficiente para servir de evidência dos controlos GR.PP-2/RC.PR-1 do Anexo III?</w:t>
            </w:r>
          </w:p>
        </w:tc>
        <w:tc>
          <w:tcPr>
            <w:vAlign w:val="center"/>
          </w:tcPr>
          <w:p>
            <w:r>
              <w:rPr>
                <w:b w:val="false"/>
                <w:bCs w:val="false"/>
                <w:color w:val="374151"/>
                <w:sz w:val="22"/>
                <w:szCs w:val="22"/>
                <w:rFonts w:ascii="Calibri" w:cs="Calibri" w:eastAsia="Calibri" w:hAnsi="Calibri"/>
              </w:rPr>
            </w:r>
          </w:p>
        </w:tc>
        <w:tc>
          <w:tcPr>
            <w:vAlign w:val="center"/>
          </w:tcPr>
          <w:p>
            <w:r>
              <w:rPr>
                <w:b w:val="false"/>
                <w:bCs w:val="false"/>
                <w:color w:val="374151"/>
                <w:sz w:val="22"/>
                <w:szCs w:val="22"/>
                <w:rFonts w:ascii="Calibri" w:cs="Calibri" w:eastAsia="Calibri" w:hAnsi="Calibri"/>
              </w:rPr>
            </w:r>
          </w:p>
        </w:tc>
      </w:tr>
    </w:tbl>
    <w:p>
      <w:r>
        <w:br w:type="page"/>
      </w:r>
    </w:p>
    <w:p>
      <w:pPr>
        <w:pStyle w:val="Heading1"/>
        <w:spacing w:before="400" w:after="200"/>
      </w:pPr>
      <w:r>
        <w:rPr>
          <w:b/>
          <w:bCs/>
          <w:color w:val="1e3a8a"/>
          <w:sz w:val="32"/>
          <w:szCs w:val="32"/>
          <w:rFonts w:ascii="Calibri" w:cs="Calibri" w:eastAsia="Calibri" w:hAnsi="Calibri"/>
        </w:rPr>
        <w:t xml:space="preserve">6. Modelo de relatório pós-exercício</w:t>
      </w:r>
    </w:p>
    <w:p>
      <w:pPr>
        <w:spacing w:after="160"/>
      </w:pPr>
      <w:r>
        <w:rPr>
          <w:color w:val="374151"/>
          <w:sz w:val="22"/>
          <w:szCs w:val="22"/>
          <w:rFonts w:ascii="Calibri" w:cs="Calibri" w:eastAsia="Calibri" w:hAnsi="Calibri"/>
        </w:rPr>
        <w:t xml:space="preserve">O relatório deve ser entregue ao órgão de gestão e ao responsável de cibersegurança no prazo de duas semanas após o exercício, e serve de base ao plano de ação corretivo.</w:t>
      </w:r>
    </w:p>
    <w:p>
      <w:pPr>
        <w:pStyle w:val="ListParagraph"/>
        <w:numPr>
          <w:ilvl w:val="0"/>
          <w:numId w:val="1"/>
        </w:numPr>
        <w:spacing w:after="80"/>
      </w:pPr>
      <w:r>
        <w:rPr>
          <w:color w:val="374151"/>
          <w:sz w:val="22"/>
          <w:szCs w:val="22"/>
          <w:rFonts w:ascii="Calibri" w:cs="Calibri" w:eastAsia="Calibri" w:hAnsi="Calibri"/>
        </w:rPr>
        <w:t xml:space="preserve">Dados do exercício: data, duração, participantes, cenário testado, facilitador.</w:t>
      </w:r>
    </w:p>
    <w:p>
      <w:pPr>
        <w:pStyle w:val="ListParagraph"/>
        <w:numPr>
          <w:ilvl w:val="0"/>
          <w:numId w:val="1"/>
        </w:numPr>
        <w:spacing w:after="80"/>
      </w:pPr>
      <w:r>
        <w:rPr>
          <w:color w:val="374151"/>
          <w:sz w:val="22"/>
          <w:szCs w:val="22"/>
          <w:rFonts w:ascii="Calibri" w:cs="Calibri" w:eastAsia="Calibri" w:hAnsi="Calibri"/>
        </w:rPr>
        <w:t xml:space="preserve">Sumário executivo para o órgão de gestão (máximo uma página).</w:t>
      </w:r>
    </w:p>
    <w:p>
      <w:pPr>
        <w:pStyle w:val="ListParagraph"/>
        <w:numPr>
          <w:ilvl w:val="0"/>
          <w:numId w:val="1"/>
        </w:numPr>
        <w:spacing w:after="80"/>
      </w:pPr>
      <w:r>
        <w:rPr>
          <w:color w:val="374151"/>
          <w:sz w:val="22"/>
          <w:szCs w:val="22"/>
          <w:rFonts w:ascii="Calibri" w:cs="Calibri" w:eastAsia="Calibri" w:hAnsi="Calibri"/>
        </w:rPr>
        <w:t xml:space="preserve">Observações por área: comunicação interna, comunicação externa, técnica, legal/conformidade, envolvimento da gestão.</w:t>
      </w:r>
    </w:p>
    <w:p>
      <w:pPr>
        <w:pStyle w:val="ListParagraph"/>
        <w:numPr>
          <w:ilvl w:val="0"/>
          <w:numId w:val="1"/>
        </w:numPr>
        <w:spacing w:after="80"/>
      </w:pPr>
      <w:r>
        <w:rPr>
          <w:color w:val="374151"/>
          <w:sz w:val="22"/>
          <w:szCs w:val="22"/>
          <w:rFonts w:ascii="Calibri" w:cs="Calibri" w:eastAsia="Calibri" w:hAnsi="Calibri"/>
        </w:rPr>
        <w:t xml:space="preserve">Achados positivos: o que funcionou bem e deve ser mantido.</w:t>
      </w:r>
    </w:p>
    <w:p>
      <w:pPr>
        <w:pStyle w:val="ListParagraph"/>
        <w:numPr>
          <w:ilvl w:val="0"/>
          <w:numId w:val="1"/>
        </w:numPr>
        <w:spacing w:after="80"/>
      </w:pPr>
      <w:r>
        <w:rPr>
          <w:color w:val="374151"/>
          <w:sz w:val="22"/>
          <w:szCs w:val="22"/>
          <w:rFonts w:ascii="Calibri" w:cs="Calibri" w:eastAsia="Calibri" w:hAnsi="Calibri"/>
        </w:rPr>
        <w:t xml:space="preserve">Lacunas identificadas: o que falhou ou está em falta, com grau de criticidade.</w:t>
      </w:r>
    </w:p>
    <w:p>
      <w:pPr>
        <w:pStyle w:val="ListParagraph"/>
        <w:numPr>
          <w:ilvl w:val="0"/>
          <w:numId w:val="1"/>
        </w:numPr>
        <w:spacing w:after="80"/>
      </w:pPr>
      <w:r>
        <w:rPr>
          <w:color w:val="374151"/>
          <w:sz w:val="22"/>
          <w:szCs w:val="22"/>
          <w:rFonts w:ascii="Calibri" w:cs="Calibri" w:eastAsia="Calibri" w:hAnsi="Calibri"/>
        </w:rPr>
        <w:t xml:space="preserve">Plano de ação: para cada lacuna, ação corretiva, responsável, prazo e critério de conclusão (ver tabela seguinte).</w:t>
      </w:r>
    </w:p>
    <w:p>
      <w:pPr>
        <w:pStyle w:val="ListParagraph"/>
        <w:numPr>
          <w:ilvl w:val="0"/>
          <w:numId w:val="1"/>
        </w:numPr>
        <w:spacing w:after="80"/>
      </w:pPr>
      <w:r>
        <w:rPr>
          <w:color w:val="374151"/>
          <w:sz w:val="22"/>
          <w:szCs w:val="22"/>
          <w:rFonts w:ascii="Calibri" w:cs="Calibri" w:eastAsia="Calibri" w:hAnsi="Calibri"/>
        </w:rPr>
        <w:t xml:space="preserve">Data recomendada do próximo exercício (mínimo anual, conforme boa prática — não é um prazo legal nomeado).</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tcW w:type="pct" w:w="30%"/>
            <w:shd w:color="1e3a8a" w:val="solid"/>
            <w:vAlign w:val="center"/>
          </w:tcPr>
          <w:p>
            <w:r>
              <w:rPr>
                <w:b/>
                <w:bCs/>
                <w:color w:val="ffffff"/>
                <w:sz w:val="22"/>
                <w:szCs w:val="22"/>
                <w:rFonts w:ascii="Calibri" w:cs="Calibri" w:eastAsia="Calibri" w:hAnsi="Calibri"/>
              </w:rPr>
              <w:t xml:space="preserve">Lacuna identificada</w:t>
            </w:r>
          </w:p>
        </w:tc>
        <w:tc>
          <w:tcPr>
            <w:tcW w:type="pct" w:w="35%"/>
            <w:shd w:color="1e3a8a" w:val="solid"/>
            <w:vAlign w:val="center"/>
          </w:tcPr>
          <w:p>
            <w:r>
              <w:rPr>
                <w:b/>
                <w:bCs/>
                <w:color w:val="ffffff"/>
                <w:sz w:val="22"/>
                <w:szCs w:val="22"/>
                <w:rFonts w:ascii="Calibri" w:cs="Calibri" w:eastAsia="Calibri" w:hAnsi="Calibri"/>
              </w:rPr>
              <w:t xml:space="preserve">Ação corretiva</w:t>
            </w:r>
          </w:p>
        </w:tc>
        <w:tc>
          <w:tcPr>
            <w:tcW w:type="pct" w:w="15%"/>
            <w:shd w:color="1e3a8a" w:val="solid"/>
            <w:vAlign w:val="center"/>
          </w:tcPr>
          <w:p>
            <w:r>
              <w:rPr>
                <w:b/>
                <w:bCs/>
                <w:color w:val="ffffff"/>
                <w:sz w:val="22"/>
                <w:szCs w:val="22"/>
                <w:rFonts w:ascii="Calibri" w:cs="Calibri" w:eastAsia="Calibri" w:hAnsi="Calibri"/>
              </w:rPr>
              <w:t xml:space="preserve">Responsável</w:t>
            </w:r>
          </w:p>
        </w:tc>
        <w:tc>
          <w:tcPr>
            <w:tcW w:type="pct" w:w="20%"/>
            <w:shd w:color="1e3a8a" w:val="solid"/>
            <w:vAlign w:val="center"/>
          </w:tcPr>
          <w:p>
            <w:r>
              <w:rPr>
                <w:b/>
                <w:bCs/>
                <w:color w:val="ffffff"/>
                <w:sz w:val="22"/>
                <w:szCs w:val="22"/>
                <w:rFonts w:ascii="Calibri" w:cs="Calibri" w:eastAsia="Calibri" w:hAnsi="Calibri"/>
              </w:rPr>
              <w:t xml:space="preserve">Prazo</w:t>
            </w:r>
          </w:p>
        </w:tc>
      </w:tr>
      <w:tr>
        <w:tc>
          <w:tcPr>
            <w:shd w:color="f3f4f6" w:val="solid"/>
            <w:vAlign w:val="center"/>
          </w:tcPr>
          <w:p>
            <w:r>
              <w:rPr>
                <w:b w:val="false"/>
                <w:bCs w:val="false"/>
                <w:color w:val="374151"/>
                <w:sz w:val="22"/>
                <w:szCs w:val="22"/>
                <w:rFonts w:ascii="Calibri" w:cs="Calibri" w:eastAsia="Calibri" w:hAnsi="Calibri"/>
              </w:rPr>
            </w:r>
          </w:p>
        </w:tc>
        <w:tc>
          <w:tcPr>
            <w:vAlign w:val="center"/>
          </w:tcPr>
          <w:p>
            <w:r>
              <w:rPr>
                <w:b w:val="false"/>
                <w:bCs w:val="false"/>
                <w:color w:val="374151"/>
                <w:sz w:val="22"/>
                <w:szCs w:val="22"/>
                <w:rFonts w:ascii="Calibri" w:cs="Calibri" w:eastAsia="Calibri" w:hAnsi="Calibri"/>
              </w:rPr>
            </w:r>
          </w:p>
        </w:tc>
        <w:tc>
          <w:tcPr>
            <w:vAlign w:val="center"/>
          </w:tcPr>
          <w:p>
            <w:r>
              <w:rPr>
                <w:b w:val="false"/>
                <w:bCs w:val="false"/>
                <w:color w:val="374151"/>
                <w:sz w:val="22"/>
                <w:szCs w:val="22"/>
                <w:rFonts w:ascii="Calibri" w:cs="Calibri" w:eastAsia="Calibri" w:hAnsi="Calibri"/>
              </w:rPr>
            </w:r>
          </w:p>
        </w:tc>
        <w:tc>
          <w:tcPr>
            <w:vAlign w:val="center"/>
          </w:tcPr>
          <w:p>
            <w:r>
              <w:rPr>
                <w:b w:val="false"/>
                <w:bCs w:val="false"/>
                <w:color w:val="374151"/>
                <w:sz w:val="22"/>
                <w:szCs w:val="22"/>
                <w:rFonts w:ascii="Calibri" w:cs="Calibri" w:eastAsia="Calibri" w:hAnsi="Calibri"/>
              </w:rPr>
            </w:r>
          </w:p>
        </w:tc>
      </w:tr>
      <w:tr>
        <w:tc>
          <w:tcPr>
            <w:shd w:color="f3f4f6" w:val="solid"/>
            <w:vAlign w:val="center"/>
          </w:tcPr>
          <w:p>
            <w:r>
              <w:rPr>
                <w:b w:val="false"/>
                <w:bCs w:val="false"/>
                <w:color w:val="374151"/>
                <w:sz w:val="22"/>
                <w:szCs w:val="22"/>
                <w:rFonts w:ascii="Calibri" w:cs="Calibri" w:eastAsia="Calibri" w:hAnsi="Calibri"/>
              </w:rPr>
            </w:r>
          </w:p>
        </w:tc>
        <w:tc>
          <w:tcPr>
            <w:vAlign w:val="center"/>
          </w:tcPr>
          <w:p>
            <w:r>
              <w:rPr>
                <w:b w:val="false"/>
                <w:bCs w:val="false"/>
                <w:color w:val="374151"/>
                <w:sz w:val="22"/>
                <w:szCs w:val="22"/>
                <w:rFonts w:ascii="Calibri" w:cs="Calibri" w:eastAsia="Calibri" w:hAnsi="Calibri"/>
              </w:rPr>
            </w:r>
          </w:p>
        </w:tc>
        <w:tc>
          <w:tcPr>
            <w:vAlign w:val="center"/>
          </w:tcPr>
          <w:p>
            <w:r>
              <w:rPr>
                <w:b w:val="false"/>
                <w:bCs w:val="false"/>
                <w:color w:val="374151"/>
                <w:sz w:val="22"/>
                <w:szCs w:val="22"/>
                <w:rFonts w:ascii="Calibri" w:cs="Calibri" w:eastAsia="Calibri" w:hAnsi="Calibri"/>
              </w:rPr>
            </w:r>
          </w:p>
        </w:tc>
        <w:tc>
          <w:tcPr>
            <w:vAlign w:val="center"/>
          </w:tcPr>
          <w:p>
            <w:r>
              <w:rPr>
                <w:b w:val="false"/>
                <w:bCs w:val="false"/>
                <w:color w:val="374151"/>
                <w:sz w:val="22"/>
                <w:szCs w:val="22"/>
                <w:rFonts w:ascii="Calibri" w:cs="Calibri" w:eastAsia="Calibri" w:hAnsi="Calibri"/>
              </w:rPr>
            </w:r>
          </w:p>
        </w:tc>
      </w:tr>
      <w:tr>
        <w:tc>
          <w:tcPr>
            <w:shd w:color="f3f4f6" w:val="solid"/>
            <w:vAlign w:val="center"/>
          </w:tcPr>
          <w:p>
            <w:r>
              <w:rPr>
                <w:b w:val="false"/>
                <w:bCs w:val="false"/>
                <w:color w:val="374151"/>
                <w:sz w:val="22"/>
                <w:szCs w:val="22"/>
                <w:rFonts w:ascii="Calibri" w:cs="Calibri" w:eastAsia="Calibri" w:hAnsi="Calibri"/>
              </w:rPr>
            </w:r>
          </w:p>
        </w:tc>
        <w:tc>
          <w:tcPr>
            <w:vAlign w:val="center"/>
          </w:tcPr>
          <w:p>
            <w:r>
              <w:rPr>
                <w:b w:val="false"/>
                <w:bCs w:val="false"/>
                <w:color w:val="374151"/>
                <w:sz w:val="22"/>
                <w:szCs w:val="22"/>
                <w:rFonts w:ascii="Calibri" w:cs="Calibri" w:eastAsia="Calibri" w:hAnsi="Calibri"/>
              </w:rPr>
            </w:r>
          </w:p>
        </w:tc>
        <w:tc>
          <w:tcPr>
            <w:vAlign w:val="center"/>
          </w:tcPr>
          <w:p>
            <w:r>
              <w:rPr>
                <w:b w:val="false"/>
                <w:bCs w:val="false"/>
                <w:color w:val="374151"/>
                <w:sz w:val="22"/>
                <w:szCs w:val="22"/>
                <w:rFonts w:ascii="Calibri" w:cs="Calibri" w:eastAsia="Calibri" w:hAnsi="Calibri"/>
              </w:rPr>
            </w:r>
          </w:p>
        </w:tc>
        <w:tc>
          <w:tcPr>
            <w:vAlign w:val="center"/>
          </w:tcPr>
          <w:p>
            <w:r>
              <w:rPr>
                <w:b w:val="false"/>
                <w:bCs w:val="false"/>
                <w:color w:val="374151"/>
                <w:sz w:val="22"/>
                <w:szCs w:val="22"/>
                <w:rFonts w:ascii="Calibri" w:cs="Calibri" w:eastAsia="Calibri" w:hAnsi="Calibri"/>
              </w:rPr>
            </w:r>
          </w:p>
        </w:tc>
      </w:tr>
    </w:tbl>
    <w:p>
      <w:pPr>
        <w:spacing w:after="160"/>
      </w:pPr>
      <w:r>
        <w:rPr>
          <w:color w:val="374151"/>
          <w:sz w:val="22"/>
          <w:szCs w:val="22"/>
          <w:rFonts w:ascii="Calibri" w:cs="Calibri" w:eastAsia="Calibri" w:hAnsi="Calibri"/>
        </w:rPr>
        <w:t xml:space="preserve">A realização e os resultados deste exercício devem ser documentados no registo de conformidade da organização, como evidência dos controlos GR.PP-2, GR.CA-8 (se envolveu fornecedores) e ID.MC-3 (melhorias identificadas a partir de avaliações pós-incidente) do Anexo III do Regulamento 756/2026.</w:t>
      </w:r>
    </w:p>
    <w:p>
      <w:pPr>
        <w:pStyle w:val="Heading1"/>
        <w:spacing w:before="400" w:after="200"/>
      </w:pPr>
      <w:r>
        <w:rPr>
          <w:b/>
          <w:bCs/>
          <w:color w:val="1e3a8a"/>
          <w:sz w:val="32"/>
          <w:szCs w:val="32"/>
          <w:rFonts w:ascii="Calibri" w:cs="Calibri" w:eastAsia="Calibri" w:hAnsi="Calibri"/>
        </w:rPr>
        <w:t xml:space="preserve">7. Notas do facilitador</w:t>
      </w:r>
    </w:p>
    <w:p>
      <w:pPr>
        <w:pStyle w:val="ListParagraph"/>
        <w:numPr>
          <w:ilvl w:val="0"/>
          <w:numId w:val="1"/>
        </w:numPr>
        <w:spacing w:after="80"/>
      </w:pPr>
      <w:r>
        <w:rPr>
          <w:color w:val="374151"/>
          <w:sz w:val="22"/>
          <w:szCs w:val="22"/>
          <w:rFonts w:ascii="Calibri" w:cs="Calibri" w:eastAsia="Calibri" w:hAnsi="Calibri"/>
        </w:rPr>
        <w:t xml:space="preserve">Confirmar antes do exercício se a instituição participante está, ou não, no âmbito de aplicação do DORA — isso determina qual regime de notificação se testa neste exercício.</w:t>
      </w:r>
    </w:p>
    <w:p>
      <w:pPr>
        <w:pStyle w:val="ListParagraph"/>
        <w:numPr>
          <w:ilvl w:val="0"/>
          <w:numId w:val="1"/>
        </w:numPr>
        <w:spacing w:after="80"/>
      </w:pPr>
      <w:r>
        <w:rPr>
          <w:color w:val="374151"/>
          <w:sz w:val="22"/>
          <w:szCs w:val="22"/>
          <w:rFonts w:ascii="Calibri" w:cs="Calibri" w:eastAsia="Calibri" w:hAnsi="Calibri"/>
        </w:rPr>
        <w:t xml:space="preserve">Não assumir automaticamente que "banca" implica sempre DORA — instituições de crédito de menor dimensão ou fora do âmbito do art. 2.º do DORA continuam sob o DL 125/2025.</w:t>
      </w:r>
    </w:p>
    <w:p>
      <w:pPr>
        <w:pStyle w:val="ListParagraph"/>
        <w:numPr>
          <w:ilvl w:val="0"/>
          <w:numId w:val="1"/>
        </w:numPr>
        <w:spacing w:after="80"/>
      </w:pPr>
      <w:r>
        <w:rPr>
          <w:color w:val="374151"/>
          <w:sz w:val="22"/>
          <w:szCs w:val="22"/>
          <w:rFonts w:ascii="Calibri" w:cs="Calibri" w:eastAsia="Calibri" w:hAnsi="Calibri"/>
        </w:rPr>
        <w:t xml:space="preserve">Evitar introduzir volumes de ataque ou perdas financeiras específicas não verificadas — usar apenas termos genéricos ("ataque de grande volume") no cenário base.</w:t>
      </w:r>
    </w:p>
    <w:p>
      <w:r>
        <w:br w:type="page"/>
      </w:r>
    </w:p>
    <w:p>
      <w:pPr>
        <w:pStyle w:val="Heading1"/>
        <w:spacing w:before="400" w:after="200"/>
      </w:pPr>
      <w:r>
        <w:rPr>
          <w:b/>
          <w:bCs/>
          <w:color w:val="1e3a8a"/>
          <w:sz w:val="32"/>
          <w:szCs w:val="32"/>
          <w:rFonts w:ascii="Calibri" w:cs="Calibri" w:eastAsia="Calibri" w:hAnsi="Calibri"/>
        </w:rPr>
        <w:t xml:space="preserve">Anexo — Checklist de preparação e condução</w:t>
      </w:r>
    </w:p>
    <w:p>
      <w:pPr>
        <w:pStyle w:val="ListParagraph"/>
        <w:numPr>
          <w:ilvl w:val="0"/>
          <w:numId w:val="1"/>
        </w:numPr>
        <w:spacing w:after="80"/>
      </w:pPr>
      <w:r>
        <w:rPr>
          <w:color w:val="374151"/>
          <w:sz w:val="22"/>
          <w:szCs w:val="22"/>
          <w:rFonts w:ascii="Calibri" w:cs="Calibri" w:eastAsia="Calibri" w:hAnsi="Calibri"/>
        </w:rPr>
        <w:t xml:space="preserve">Defini os objetivos e adaptei o cenário base à realidade da organização.</w:t>
      </w:r>
    </w:p>
    <w:p>
      <w:pPr>
        <w:pStyle w:val="ListParagraph"/>
        <w:numPr>
          <w:ilvl w:val="0"/>
          <w:numId w:val="1"/>
        </w:numPr>
        <w:spacing w:after="80"/>
      </w:pPr>
      <w:r>
        <w:rPr>
          <w:color w:val="374151"/>
          <w:sz w:val="22"/>
          <w:szCs w:val="22"/>
          <w:rFonts w:ascii="Calibri" w:cs="Calibri" w:eastAsia="Calibri" w:hAnsi="Calibri"/>
        </w:rPr>
        <w:t xml:space="preserve">Confirmei o facilitador e o observador independente.</w:t>
      </w:r>
    </w:p>
    <w:p>
      <w:pPr>
        <w:pStyle w:val="ListParagraph"/>
        <w:numPr>
          <w:ilvl w:val="0"/>
          <w:numId w:val="1"/>
        </w:numPr>
        <w:spacing w:after="80"/>
      </w:pPr>
      <w:r>
        <w:rPr>
          <w:color w:val="374151"/>
          <w:sz w:val="22"/>
          <w:szCs w:val="22"/>
          <w:rFonts w:ascii="Calibri" w:cs="Calibri" w:eastAsia="Calibri" w:hAnsi="Calibri"/>
        </w:rPr>
        <w:t xml:space="preserve">Convidei e confirmei a presença de todos os participantes da tabela de papéis, incluindo o órgão de gestão.</w:t>
      </w:r>
    </w:p>
    <w:p>
      <w:pPr>
        <w:pStyle w:val="ListParagraph"/>
        <w:numPr>
          <w:ilvl w:val="0"/>
          <w:numId w:val="1"/>
        </w:numPr>
        <w:spacing w:after="80"/>
      </w:pPr>
      <w:r>
        <w:rPr>
          <w:color w:val="374151"/>
          <w:sz w:val="22"/>
          <w:szCs w:val="22"/>
          <w:rFonts w:ascii="Calibri" w:cs="Calibri" w:eastAsia="Calibri" w:hAnsi="Calibri"/>
        </w:rPr>
        <w:t xml:space="preserve">Preparei materiais de apoio: este guião, a ficha de avaliação de significância do incidente, os planos de resposta a incidentes e de continuidade de negócio.</w:t>
      </w:r>
    </w:p>
    <w:p>
      <w:pPr>
        <w:pStyle w:val="ListParagraph"/>
        <w:numPr>
          <w:ilvl w:val="0"/>
          <w:numId w:val="1"/>
        </w:numPr>
        <w:spacing w:after="80"/>
      </w:pPr>
      <w:r>
        <w:rPr>
          <w:color w:val="374151"/>
          <w:sz w:val="22"/>
          <w:szCs w:val="22"/>
          <w:rFonts w:ascii="Calibri" w:cs="Calibri" w:eastAsia="Calibri" w:hAnsi="Calibri"/>
        </w:rPr>
        <w:t xml:space="preserve">Realizei um briefing pré-exercício com o facilitador e o observador.</w:t>
      </w:r>
    </w:p>
    <w:p>
      <w:pPr>
        <w:pStyle w:val="ListParagraph"/>
        <w:numPr>
          <w:ilvl w:val="0"/>
          <w:numId w:val="1"/>
        </w:numPr>
        <w:spacing w:after="80"/>
      </w:pPr>
      <w:r>
        <w:rPr>
          <w:color w:val="374151"/>
          <w:sz w:val="22"/>
          <w:szCs w:val="22"/>
          <w:rFonts w:ascii="Calibri" w:cs="Calibri" w:eastAsia="Calibri" w:hAnsi="Calibri"/>
        </w:rPr>
        <w:t xml:space="preserve">Conduzi o exercício seguindo a sequência de injects, documentando decisões e discussões.</w:t>
      </w:r>
    </w:p>
    <w:p>
      <w:pPr>
        <w:pStyle w:val="ListParagraph"/>
        <w:numPr>
          <w:ilvl w:val="0"/>
          <w:numId w:val="1"/>
        </w:numPr>
        <w:spacing w:after="80"/>
      </w:pPr>
      <w:r>
        <w:rPr>
          <w:color w:val="374151"/>
          <w:sz w:val="22"/>
          <w:szCs w:val="22"/>
          <w:rFonts w:ascii="Calibri" w:cs="Calibri" w:eastAsia="Calibri" w:hAnsi="Calibri"/>
        </w:rPr>
        <w:t xml:space="preserve">Realizei um "hot wash" (debrief a quente) imediatamente após o exercício.</w:t>
      </w:r>
    </w:p>
    <w:p>
      <w:pPr>
        <w:pStyle w:val="ListParagraph"/>
        <w:numPr>
          <w:ilvl w:val="0"/>
          <w:numId w:val="1"/>
        </w:numPr>
        <w:spacing w:after="80"/>
      </w:pPr>
      <w:r>
        <w:rPr>
          <w:color w:val="374151"/>
          <w:sz w:val="22"/>
          <w:szCs w:val="22"/>
          <w:rFonts w:ascii="Calibri" w:cs="Calibri" w:eastAsia="Calibri" w:hAnsi="Calibri"/>
        </w:rPr>
        <w:t xml:space="preserve">Redigi e entreguei o relatório pós-exercício no prazo de duas semanas.</w:t>
      </w:r>
    </w:p>
    <w:p>
      <w:pPr>
        <w:pStyle w:val="ListParagraph"/>
        <w:numPr>
          <w:ilvl w:val="0"/>
          <w:numId w:val="1"/>
        </w:numPr>
        <w:spacing w:after="80"/>
      </w:pPr>
      <w:r>
        <w:rPr>
          <w:color w:val="374151"/>
          <w:sz w:val="22"/>
          <w:szCs w:val="22"/>
          <w:rFonts w:ascii="Calibri" w:cs="Calibri" w:eastAsia="Calibri" w:hAnsi="Calibri"/>
        </w:rPr>
        <w:t xml:space="preserve">Apresentei os resultados ao órgão de gestão.</w:t>
      </w:r>
    </w:p>
    <w:p>
      <w:pPr>
        <w:pStyle w:val="ListParagraph"/>
        <w:numPr>
          <w:ilvl w:val="0"/>
          <w:numId w:val="1"/>
        </w:numPr>
        <w:spacing w:after="80"/>
      </w:pPr>
      <w:r>
        <w:rPr>
          <w:color w:val="374151"/>
          <w:sz w:val="22"/>
          <w:szCs w:val="22"/>
          <w:rFonts w:ascii="Calibri" w:cs="Calibri" w:eastAsia="Calibri" w:hAnsi="Calibri"/>
        </w:rPr>
        <w:t xml:space="preserve">Integrei as ações corretivas no plano de ação da organização e atualizei o plano de resposta a incidentes.</w:t>
      </w:r>
    </w:p>
    <w:p>
      <w:pPr>
        <w:pStyle w:val="ListParagraph"/>
        <w:numPr>
          <w:ilvl w:val="0"/>
          <w:numId w:val="1"/>
        </w:numPr>
        <w:spacing w:after="80"/>
      </w:pPr>
      <w:r>
        <w:rPr>
          <w:color w:val="374151"/>
          <w:sz w:val="22"/>
          <w:szCs w:val="22"/>
          <w:rFonts w:ascii="Calibri" w:cs="Calibri" w:eastAsia="Calibri" w:hAnsi="Calibri"/>
        </w:rPr>
        <w:t xml:space="preserve">Arquivei o relatório e as evidências para fins de conformidade NIS2.</w:t>
      </w:r>
    </w:p>
    <w:p>
      <w:pPr>
        <w:pStyle w:val="ListParagraph"/>
        <w:numPr>
          <w:ilvl w:val="0"/>
          <w:numId w:val="1"/>
        </w:numPr>
        <w:spacing w:after="80"/>
      </w:pPr>
      <w:r>
        <w:rPr>
          <w:color w:val="374151"/>
          <w:sz w:val="22"/>
          <w:szCs w:val="22"/>
          <w:rFonts w:ascii="Calibri" w:cs="Calibri" w:eastAsia="Calibri" w:hAnsi="Calibri"/>
        </w:rPr>
        <w:t xml:space="preserve">Agendei o próximo exercício.</w:t>
      </w:r>
    </w:p>
    <w:p>
      <w:pPr>
        <w:pStyle w:val="Heading1"/>
        <w:spacing w:before="400" w:after="200"/>
      </w:pPr>
      <w:r>
        <w:rPr>
          <w:b/>
          <w:bCs/>
          <w:color w:val="1e3a8a"/>
          <w:sz w:val="32"/>
          <w:szCs w:val="32"/>
          <w:rFonts w:ascii="Calibri" w:cs="Calibri" w:eastAsia="Calibri" w:hAnsi="Calibri"/>
        </w:rPr>
        <w:t xml:space="preserve">Nota</w:t>
      </w:r>
    </w:p>
    <w:p>
      <w:pPr>
        <w:spacing w:after="160"/>
      </w:pPr>
      <w:r>
        <w:rPr>
          <w:color w:val="374151"/>
          <w:sz w:val="22"/>
          <w:szCs w:val="22"/>
          <w:rFonts w:ascii="Calibri" w:cs="Calibri" w:eastAsia="Calibri" w:hAnsi="Calibri"/>
        </w:rPr>
        <w:t xml:space="preserve">Este modelo não substitui aconselhamento jurídico. Os cenários e injects devem ser adaptados à realidade concreta da organização; os factos e referências setoriais citados na introdução legal baseiam-se em fontes públicas verificadas, não em estatísticas específicas inventadas.</w:t>
      </w:r>
    </w:p>
    <w:p>
      <w:pPr>
        <w:pStyle w:val="Heading1"/>
      </w:pPr>
      <w:r>
        <w:rPr>
          <w:b/>
          <w:color w:val="1E3A8A"/>
          <w:sz w:val="28"/>
        </w:rPr>
        <w:t>8. Aprovação do documento</w:t>
      </w:r>
    </w:p>
    <w:tbl>
      <w:tblPr>
        <w:tblW w:type="auto" w:w="0"/>
        <w:tblLook w:firstColumn="1" w:firstRow="1" w:lastColumn="0" w:lastRow="0" w:noHBand="0" w:noVBand="1" w:val="04A0"/>
      </w:tblPr>
      <w:tblGrid>
        <w:gridCol w:w="2256"/>
        <w:gridCol w:w="2256"/>
        <w:gridCol w:w="2256"/>
        <w:gridCol w:w="2256"/>
      </w:tblGrid>
      <w:tr>
        <w:tc>
          <w:tcPr>
            <w:tcW w:type="dxa" w:w="2256"/>
            <w:shd w:val="clear" w:color="auto" w:fill="1E3A8A"/>
            <w:tcBorders>
              <w:top w:val="single" w:sz="4" w:space="0" w:color="D1D5DB"/>
              <w:left w:val="single" w:sz="4" w:space="0" w:color="D1D5DB"/>
              <w:bottom w:val="single" w:sz="4" w:space="0" w:color="D1D5DB"/>
              <w:right w:val="single" w:sz="4" w:space="0" w:color="D1D5DB"/>
            </w:tcBorders>
          </w:tcPr>
          <w:p>
            <w:r/>
            <w:r>
              <w:rPr>
                <w:b/>
                <w:color w:val="FFFFFF"/>
                <w:sz w:val="20"/>
              </w:rPr>
              <w:t>Papel</w:t>
            </w:r>
          </w:p>
        </w:tc>
        <w:tc>
          <w:tcPr>
            <w:tcW w:type="dxa" w:w="2256"/>
            <w:shd w:val="clear" w:color="auto" w:fill="1E3A8A"/>
            <w:tcBorders>
              <w:top w:val="single" w:sz="4" w:space="0" w:color="D1D5DB"/>
              <w:left w:val="single" w:sz="4" w:space="0" w:color="D1D5DB"/>
              <w:bottom w:val="single" w:sz="4" w:space="0" w:color="D1D5DB"/>
              <w:right w:val="single" w:sz="4" w:space="0" w:color="D1D5DB"/>
            </w:tcBorders>
          </w:tcPr>
          <w:p>
            <w:r/>
            <w:r>
              <w:rPr>
                <w:b/>
                <w:color w:val="FFFFFF"/>
                <w:sz w:val="20"/>
              </w:rPr>
              <w:t>Nome</w:t>
            </w:r>
          </w:p>
        </w:tc>
        <w:tc>
          <w:tcPr>
            <w:tcW w:type="dxa" w:w="2256"/>
            <w:shd w:val="clear" w:color="auto" w:fill="1E3A8A"/>
            <w:tcBorders>
              <w:top w:val="single" w:sz="4" w:space="0" w:color="D1D5DB"/>
              <w:left w:val="single" w:sz="4" w:space="0" w:color="D1D5DB"/>
              <w:bottom w:val="single" w:sz="4" w:space="0" w:color="D1D5DB"/>
              <w:right w:val="single" w:sz="4" w:space="0" w:color="D1D5DB"/>
            </w:tcBorders>
          </w:tcPr>
          <w:p>
            <w:r/>
            <w:r>
              <w:rPr>
                <w:b/>
                <w:color w:val="FFFFFF"/>
                <w:sz w:val="20"/>
              </w:rPr>
              <w:t>Cargo</w:t>
            </w:r>
          </w:p>
        </w:tc>
        <w:tc>
          <w:tcPr>
            <w:tcW w:type="dxa" w:w="2256"/>
            <w:shd w:val="clear" w:color="auto" w:fill="1E3A8A"/>
            <w:tcBorders>
              <w:top w:val="single" w:sz="4" w:space="0" w:color="D1D5DB"/>
              <w:left w:val="single" w:sz="4" w:space="0" w:color="D1D5DB"/>
              <w:bottom w:val="single" w:sz="4" w:space="0" w:color="D1D5DB"/>
              <w:right w:val="single" w:sz="4" w:space="0" w:color="D1D5DB"/>
            </w:tcBorders>
          </w:tcPr>
          <w:p>
            <w:r/>
            <w:r>
              <w:rPr>
                <w:b/>
                <w:color w:val="FFFFFF"/>
                <w:sz w:val="20"/>
              </w:rPr>
              <w:t>Data e assinatura</w:t>
            </w:r>
          </w:p>
        </w:tc>
      </w:tr>
      <w:tr>
        <w:tc>
          <w:tcPr>
            <w:tcW w:type="dxa" w:w="2256"/>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Elaborado por</w:t>
            </w:r>
          </w:p>
        </w:tc>
        <w:tc>
          <w:tcPr>
            <w:tcW w:type="dxa" w:w="2256"/>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[DPO/CISO]</w:t>
            </w:r>
          </w:p>
        </w:tc>
        <w:tc>
          <w:tcPr>
            <w:tcW w:type="dxa" w:w="2256"/>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r>
          </w:p>
        </w:tc>
        <w:tc>
          <w:tcPr>
            <w:tcW w:type="dxa" w:w="2256"/>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r>
          </w:p>
        </w:tc>
      </w:tr>
      <w:tr>
        <w:tc>
          <w:tcPr>
            <w:tcW w:type="dxa" w:w="2256"/>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Revisto por</w:t>
            </w:r>
          </w:p>
        </w:tc>
        <w:tc>
          <w:tcPr>
            <w:tcW w:type="dxa" w:w="2256"/>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r>
          </w:p>
        </w:tc>
        <w:tc>
          <w:tcPr>
            <w:tcW w:type="dxa" w:w="2256"/>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r>
          </w:p>
        </w:tc>
        <w:tc>
          <w:tcPr>
            <w:tcW w:type="dxa" w:w="2256"/>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r>
          </w:p>
        </w:tc>
      </w:tr>
      <w:tr>
        <w:tc>
          <w:tcPr>
            <w:tcW w:type="dxa" w:w="2256"/>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Aprovado por</w:t>
            </w:r>
          </w:p>
        </w:tc>
        <w:tc>
          <w:tcPr>
            <w:tcW w:type="dxa" w:w="2256"/>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r>
          </w:p>
        </w:tc>
        <w:tc>
          <w:tcPr>
            <w:tcW w:type="dxa" w:w="2256"/>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Conselho de Administração</w:t>
            </w:r>
          </w:p>
        </w:tc>
        <w:tc>
          <w:tcPr>
            <w:tcW w:type="dxa" w:w="2256"/>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r>
          </w:p>
        </w:tc>
      </w:tr>
      <w:tr>
        <w:tc>
          <w:tcPr>
            <w:tcW w:type="dxa" w:w="2256"/>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Comunicado a</w:t>
            </w:r>
          </w:p>
        </w:tc>
        <w:tc>
          <w:tcPr>
            <w:tcW w:type="dxa" w:w="2256"/>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Todos os colaboradores</w:t>
            </w:r>
          </w:p>
        </w:tc>
        <w:tc>
          <w:tcPr>
            <w:tcW w:type="dxa" w:w="2256"/>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r>
          </w:p>
        </w:tc>
        <w:tc>
          <w:tcPr>
            <w:tcW w:type="dxa" w:w="2256"/>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r>
          </w:p>
        </w:tc>
      </w:tr>
    </w:tbl>
    <w:p>
      <w:r>
        <w:rPr>
          <w:i/>
          <w:color w:val="374151"/>
          <w:sz w:val="20"/>
        </w:rPr>
        <w:t>Este documento é controlado pelo sistema de gestão documental da organização. Alterações requerem aprovação formal conforme tabela acima. A próxima revisão deve ocorrer até 15/09/2027.</w:t>
      </w:r>
    </w:p>
    <w:p>
      <w:pPr>
        <w:pStyle w:val="Heading1"/>
      </w:pPr>
      <w:r>
        <w:rPr>
          <w:b/>
          <w:color w:val="1E3A8A"/>
          <w:sz w:val="28"/>
        </w:rPr>
        <w:t>9. Glossário</w:t>
      </w:r>
    </w:p>
    <w:p>
      <w:r>
        <w:rPr>
          <w:color w:val="374151"/>
          <w:sz w:val="22"/>
        </w:rPr>
        <w:t>Para facilitar a leitura, apresentam-se os termos técnicos e legais usados ao longo deste documento.</w:t>
      </w:r>
    </w:p>
    <w:tbl>
      <w:tblPr>
        <w:tblW w:type="auto" w:w="0"/>
        <w:tblLook w:firstColumn="1" w:firstRow="1" w:lastColumn="0" w:lastRow="0" w:noHBand="0" w:noVBand="1" w:val="04A0"/>
      </w:tblPr>
      <w:tblGrid>
        <w:gridCol w:w="4513"/>
        <w:gridCol w:w="4513"/>
      </w:tblGrid>
      <w:tr>
        <w:tc>
          <w:tcPr>
            <w:tcW w:type="dxa" w:w="4513"/>
            <w:shd w:val="clear" w:color="auto" w:fill="1E3A8A"/>
            <w:tcBorders>
              <w:top w:val="single" w:sz="4" w:space="0" w:color="D1D5DB"/>
              <w:left w:val="single" w:sz="4" w:space="0" w:color="D1D5DB"/>
              <w:bottom w:val="single" w:sz="4" w:space="0" w:color="D1D5DB"/>
              <w:right w:val="single" w:sz="4" w:space="0" w:color="D1D5DB"/>
            </w:tcBorders>
          </w:tcPr>
          <w:p>
            <w:r/>
            <w:r>
              <w:rPr>
                <w:b/>
                <w:color w:val="FFFFFF"/>
                <w:sz w:val="20"/>
              </w:rPr>
              <w:t>Termo</w:t>
            </w:r>
          </w:p>
        </w:tc>
        <w:tc>
          <w:tcPr>
            <w:tcW w:type="dxa" w:w="4513"/>
            <w:shd w:val="clear" w:color="auto" w:fill="1E3A8A"/>
            <w:tcBorders>
              <w:top w:val="single" w:sz="4" w:space="0" w:color="D1D5DB"/>
              <w:left w:val="single" w:sz="4" w:space="0" w:color="D1D5DB"/>
              <w:bottom w:val="single" w:sz="4" w:space="0" w:color="D1D5DB"/>
              <w:right w:val="single" w:sz="4" w:space="0" w:color="D1D5DB"/>
            </w:tcBorders>
          </w:tcPr>
          <w:p>
            <w:r/>
            <w:r>
              <w:rPr>
                <w:b/>
                <w:color w:val="FFFFFF"/>
                <w:sz w:val="20"/>
              </w:rPr>
              <w:t>Definição</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NIS2</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Diretiva (UE) 2022/2555 relativa a medidas destinadas a garantir um elevado nível comum de cibersegurança em toda a União (substitui a NIS de 2016)</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DL 125/2025</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Decreto-Lei n.º 125/2025, de 4 de dezembro, que transpõe para Portugal a Diretiva NIS2</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CNCS</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Centro Nacional de Cibersegurança, autoridade competente NIS2 em Portugal (Art. 15.º DL 125/2025)</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CERT.PT</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Equipa de resposta a incidentes de segurança informática nacional integrada no CNCS</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OE</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Entidade Essencial (Art. 6.º DL 125/2025) — entidade sujeita a maiores obrigações e supervisão</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OI</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Entidade Importante (Art. 6.º DL 125/2025) — regime proporcional com supervisão ex-post</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SGSI</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Sistema de Gestão de Segurança da Informação (ISO/IEC 27001)</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CSIRT</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Computer Security Incident Response Team — equipa de resposta a incidentes</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SOC</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Security Operations Centre — centro de operações de segurança</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SIEM</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Security Information and Event Management — correlação e análise de logs</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EDR</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Endpoint Detection and Response — deteção e resposta em endpoints</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XDR</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Extended Detection and Response — deteção estendida (endpoints + rede + cloud)</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IAM</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Identity and Access Management — gestão de identidades e acessos</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PAM</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Privileged Access Management — gestão de acessos privilegiados</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MFA</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Multi-Factor Authentication — autenticação multifator</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SSO</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Single Sign-On — autenticação única</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DLP</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Data Loss Prevention — prevenção de fuga de dados</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DPIA</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Data Protection Impact Assessment (RGPD Art. 35.º) — avaliação de impacto sobre proteção de dados</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AIPD</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Avaliação de Impacto sobre a Proteção de Dados (equivalente PT-PT do DPIA)</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RTO</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Recovery Time Objective — tempo máximo de recuperação aceitável</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RPO</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Recovery Point Objective — perda máxima de dados aceitável</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MTTD</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Mean Time To Detect — tempo médio de deteção</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MTTR</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Mean Time To Respond/Recover — tempo médio de resposta ou recuperação</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IoC</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Indicator of Compromise — indicador de compromisso</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TLPT</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Threat-Led Penetration Testing — teste de penetração baseado em ameaças (DORA Art. 26.º)</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TTP</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Tactics, Techniques and Procedures — táticas, técnicas e procedimentos (MITRE ATT&amp;CK)</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CVE</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Common Vulnerabilities and Exposures — base de dados pública de vulnerabilidades</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CVSS</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Common Vulnerability Scoring System — sistema de pontuação de vulnerabilidades (0-10)</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RGPD</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Regulamento Geral sobre a Proteção de Dados (UE 2016/679)</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DORA</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Digital Operational Resilience Act — Regulamento (UE) 2022/2554 para o setor financeiro</w:t>
            </w:r>
          </w:p>
        </w:tc>
      </w:tr>
    </w:tbl>
    <w:p>
      <w:pPr>
        <w:pStyle w:val="Heading1"/>
      </w:pPr>
      <w:r>
        <w:rPr>
          <w:b/>
          <w:color w:val="1E3A8A"/>
          <w:sz w:val="28"/>
        </w:rPr>
        <w:t>10. Referências a outros templates NIS2</w:t>
      </w:r>
    </w:p>
    <w:p>
      <w:r>
        <w:rPr>
          <w:color w:val="374151"/>
          <w:sz w:val="22"/>
        </w:rPr>
        <w:t>Este template integra-se com o seguinte conjunto de políticas e procedimentos NIS2 disponibilizados em nis2-portugal.com/pages/templates.html:</w:t>
      </w:r>
    </w:p>
    <w:p>
      <w:r>
        <w:rPr>
          <w:color w:val="374151"/>
          <w:sz w:val="22"/>
        </w:rPr>
        <w:t xml:space="preserve">• </w:t>
      </w:r>
      <w:r>
        <w:rPr>
          <w:color w:val="374151"/>
          <w:sz w:val="22"/>
        </w:rPr>
        <w:t>Política de segurança da informação — documento de cúpula</w:t>
      </w:r>
    </w:p>
    <w:p>
      <w:r>
        <w:rPr>
          <w:color w:val="374151"/>
          <w:sz w:val="22"/>
        </w:rPr>
        <w:t xml:space="preserve">• </w:t>
      </w:r>
      <w:r>
        <w:rPr>
          <w:color w:val="374151"/>
          <w:sz w:val="22"/>
        </w:rPr>
        <w:t>Plano de resposta a incidentes — procedimento operacional</w:t>
      </w:r>
    </w:p>
    <w:p>
      <w:r>
        <w:rPr>
          <w:color w:val="374151"/>
          <w:sz w:val="22"/>
        </w:rPr>
        <w:t xml:space="preserve">• </w:t>
      </w:r>
      <w:r>
        <w:rPr>
          <w:color w:val="374151"/>
          <w:sz w:val="22"/>
        </w:rPr>
        <w:t>Matriz de riscos NIS2 — avaliação de riscos Art. 21.º</w:t>
      </w:r>
    </w:p>
    <w:p>
      <w:r>
        <w:rPr>
          <w:color w:val="374151"/>
          <w:sz w:val="22"/>
        </w:rPr>
        <w:t xml:space="preserve">• </w:t>
      </w:r>
      <w:r>
        <w:rPr>
          <w:color w:val="374151"/>
          <w:sz w:val="22"/>
        </w:rPr>
        <w:t>Plano de continuidade de negócio — BIA + DRP</w:t>
      </w:r>
    </w:p>
    <w:p>
      <w:r>
        <w:rPr>
          <w:color w:val="374151"/>
          <w:sz w:val="22"/>
        </w:rPr>
        <w:t xml:space="preserve">• </w:t>
      </w:r>
      <w:r>
        <w:rPr>
          <w:color w:val="374151"/>
          <w:sz w:val="22"/>
        </w:rPr>
        <w:t>Política de controlo de acessos — gestão IAM/PAM</w:t>
      </w:r>
    </w:p>
    <w:p>
      <w:r>
        <w:rPr>
          <w:color w:val="374151"/>
          <w:sz w:val="22"/>
        </w:rPr>
        <w:t xml:space="preserve">• </w:t>
      </w:r>
      <w:r>
        <w:rPr>
          <w:color w:val="374151"/>
          <w:sz w:val="22"/>
        </w:rPr>
        <w:t>Checklist de conformidade Art. 21.º — autoavaliação</w:t>
      </w:r>
    </w:p>
    <w:p>
      <w:r>
        <w:rPr>
          <w:color w:val="374151"/>
          <w:sz w:val="22"/>
        </w:rPr>
        <w:t xml:space="preserve">• </w:t>
      </w:r>
      <w:r>
        <w:rPr>
          <w:color w:val="374151"/>
          <w:sz w:val="22"/>
        </w:rPr>
        <w:t>Questionário de due diligence de fornecedores — cadeia de abastecimento</w:t>
      </w:r>
    </w:p>
    <w:p>
      <w:r>
        <w:rPr>
          <w:color w:val="374151"/>
          <w:sz w:val="22"/>
        </w:rPr>
        <w:t xml:space="preserve">• </w:t>
      </w:r>
      <w:r>
        <w:rPr>
          <w:color w:val="374151"/>
          <w:sz w:val="22"/>
        </w:rPr>
        <w:t>Programa de formação e sensibilização — Art. 20.º DL 125/2025</w:t>
      </w:r>
    </w:p>
    <w:p>
      <w:r>
        <w:rPr>
          <w:i/>
          <w:color w:val="374151"/>
          <w:sz w:val="20"/>
        </w:rPr>
        <w:t>Todos os templates referidos estão disponíveis para download gratuito em https://nis2-portugal.com/pages/templates.html. A utilização conjunta garante cobertura completa dos requisitos do Art. 21.º do DL 125/2025.</w:t>
      </w:r>
    </w:p>
    <w:sectPr>
      <w:headerReference w:type="default" r:id="rId6"/>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1e3a8a" w:sz="6" w:space="1"/>
      </w:pBdr>
      <w:jc w:val="center"/>
    </w:pPr>
    <w:r>
      <w:rPr>
        <w:color w:val="9ca3af"/>
        <w:sz w:val="18"/>
        <w:szCs w:val="18"/>
        <w:rFonts w:ascii="Calibri" w:cs="Calibri" w:eastAsia="Calibri" w:hAnsi="Calibri"/>
      </w:rPr>
      <w:t xml:space="preserve">Confidencial  |  Página </w:t>
    </w:r>
    <w:r>
      <w:rPr>
        <w:color w:val="9ca3af"/>
        <w:sz w:val="18"/>
        <w:szCs w:val="18"/>
        <w:rFonts w:ascii="Calibri" w:cs="Calibri" w:eastAsia="Calibri" w:hAnsi="Calibri"/>
      </w:rPr>
      <w:fldChar w:fldCharType="begin"/>
      <w:instrText xml:space="preserve">PAGE</w:instrText>
      <w:fldChar w:fldCharType="separate"/>
      <w:fldChar w:fldCharType="end"/>
    </w:r>
    <w:r>
      <w:rPr>
        <w:color w:val="9ca3af"/>
        <w:sz w:val="18"/>
        <w:szCs w:val="18"/>
        <w:rFonts w:ascii="Calibri" w:cs="Calibri" w:eastAsia="Calibri" w:hAnsi="Calibri"/>
      </w:rPr>
      <w:t xml:space="preserve"> de </w:t>
    </w:r>
    <w:r>
      <w:rPr>
        <w:color w:val="9ca3af"/>
        <w:sz w:val="18"/>
        <w:szCs w:val="18"/>
        <w:rFonts w:ascii="Calibri" w:cs="Calibri" w:eastAsia="Calibri" w:hAnsi="Calibri"/>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e3a8a" w:sz="6" w:space="1"/>
      </w:pBdr>
      <w:jc w:val="right"/>
    </w:pPr>
    <w:r>
      <w:rPr>
        <w:color w:val="9ca3af"/>
        <w:sz w:val="18"/>
        <w:szCs w:val="18"/>
        <w:rFonts w:ascii="Calibri" w:cs="Calibri" w:eastAsia="Calibri" w:hAnsi="Calibri"/>
      </w:rPr>
      <w:t xml:space="preserve">Exercício de mesa NIS2 — Setor Banca — Art. 27.º n.º 1 — DL 125/2025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NIS2 Portugal — nis2-portugal.com</dc:creator>
  <cp:lastModifiedBy>NIS2 Portugal</cp:lastModifiedBy>
  <cp:revision>1</cp:revision>
  <dcterms:created xsi:type="dcterms:W3CDTF">2026-09-15T13:41:34.199Z</dcterms:created>
  <dcterms:modified xsi:type="dcterms:W3CDTF">2026-09-15T13:41:34.199Z</dcterms:modified>
  <dc:title>Exercicio mesa banca</dc:title>
  <dc:subject>Template NIS2 — conformidade DL 125/2025</dc:subject>
  <cp:keywords>NIS2, DL 125/2025, cibersegurança, conformidade, Portugal</cp:keywords>
  <cp:category>Template NIS2</cp:category>
  <dc:description>Template profissional gratuito disponibilizado em nis2-portugal.com</dc:description>
</cp:coreProperties>
</file>

<file path=docProps/custom.xml><?xml version="1.0" encoding="utf-8"?>
<Properties xmlns="http://schemas.openxmlformats.org/officeDocument/2006/custom-properties" xmlns:vt="http://schemas.openxmlformats.org/officeDocument/2006/docPropsVTypes"/>
</file>