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p>
      <w:pPr>
        <w:spacing w:after="600"/>
        <w:jc w:val="center"/>
      </w:pPr>
      <w:r>
        <w:rPr>
          <w:i/>
          <w:iCs/>
          <w:color w:val="9ca3af"/>
          <w:sz w:val="22"/>
          <w:szCs w:val="22"/>
          <w:rFonts w:ascii="Calibri" w:cs="Calibri" w:eastAsia="Calibri" w:hAnsi="Calibri"/>
        </w:rPr>
        <w:t xml:space="preserve">[Nome da organização]</w:t>
      </w:r>
    </w:p>
    <w:p>
      <w:pPr>
        <w:spacing w:after="300"/>
        <w:jc w:val="center"/>
      </w:pPr>
      <w:r>
        <w:rPr>
          <w:b/>
          <w:bCs/>
          <w:color w:val="1e3a8a"/>
          <w:sz w:val="28"/>
          <w:szCs w:val="28"/>
          <w:rFonts w:ascii="Calibri" w:cs="Calibri" w:eastAsia="Calibri" w:hAnsi="Calibri"/>
        </w:rPr>
        <w:t xml:space="preserve">Exercício de mesa NIS2 — Setor Energia</w:t>
      </w:r>
    </w:p>
    <w:p>
      <w:pPr>
        <w:spacing w:after="1200"/>
        <w:jc w:val="center"/>
      </w:pPr>
      <w:r>
        <w:rPr>
          <w:color w:val="374151"/>
          <w:sz w:val="22"/>
          <w:szCs w:val="22"/>
          <w:rFonts w:ascii="Calibri" w:cs="Calibri" w:eastAsia="Calibri" w:hAnsi="Calibri"/>
        </w:rPr>
        <w:t xml:space="preserve">Cenário: comprometimento de tecnologia operacional (OT) — Anexo I, ponto 1 (Energia) do DL 125/2025</w:t>
      </w:r>
    </w:p>
    <w:p>
      <w:pPr>
        <w:spacing w:after="160"/>
        <w:jc w:val="center"/>
      </w:pPr>
      <w:r>
        <w:rPr>
          <w:b/>
          <w:bCs/>
          <w:color w:val="374151"/>
          <w:sz w:val="22"/>
          <w:szCs w:val="22"/>
          <w:rFonts w:ascii="Calibri" w:cs="Calibri" w:eastAsia="Calibri" w:hAnsi="Calibri"/>
        </w:rPr>
        <w:t xml:space="preserve">Versão: </w:t>
      </w:r>
      <w:r>
        <w:rPr>
          <w:color w:val="374151"/>
          <w:sz w:val="22"/>
          <w:szCs w:val="22"/>
          <w:rFonts w:ascii="Calibri" w:cs="Calibri" w:eastAsia="Calibri" w:hAnsi="Calibri"/>
        </w:rPr>
        <w:t xml:space="preserve">1.0</w:t>
      </w:r>
    </w:p>
    <w:p>
      <w:pPr>
        <w:spacing w:after="160"/>
        <w:jc w:val="center"/>
      </w:pPr>
      <w:r>
        <w:rPr>
          <w:b/>
          <w:bCs/>
          <w:color w:val="374151"/>
          <w:sz w:val="22"/>
          <w:szCs w:val="22"/>
          <w:rFonts w:ascii="Calibri" w:cs="Calibri" w:eastAsia="Calibri" w:hAnsi="Calibri"/>
        </w:rPr>
        <w:t xml:space="preserve">Data: </w:t>
      </w:r>
      <w:r>
        <w:rPr>
          <w:color w:val="374151"/>
          <w:sz w:val="22"/>
          <w:szCs w:val="22"/>
          <w:rFonts w:ascii="Calibri" w:cs="Calibri" w:eastAsia="Calibri" w:hAnsi="Calibri"/>
        </w:rPr>
        <w:t xml:space="preserve">15/09/2026</w:t>
      </w:r>
    </w:p>
    <w:p>
      <w:pPr>
        <w:spacing w:after="400"/>
        <w:jc w:val="center"/>
      </w:pPr>
      <w:r>
        <w:rPr>
          <w:b/>
          <w:bCs/>
          <w:color w:val="374151"/>
          <w:sz w:val="22"/>
          <w:szCs w:val="22"/>
          <w:rFonts w:ascii="Calibri" w:cs="Calibri" w:eastAsia="Calibri" w:hAnsi="Calibri"/>
        </w:rPr>
        <w:t xml:space="preserve">Classificação: </w:t>
      </w:r>
      <w:r>
        <w:rPr>
          <w:b/>
          <w:bCs/>
          <w:color w:val="dc2626"/>
          <w:sz w:val="22"/>
          <w:szCs w:val="22"/>
          <w:rFonts w:ascii="Calibri" w:cs="Calibri" w:eastAsia="Calibri" w:hAnsi="Calibri"/>
        </w:rPr>
        <w:t xml:space="preserve">Confidencial</w:t>
      </w:r>
    </w:p>
    <w:p>
      <w:r>
        <w:br w:type="page"/>
      </w:r>
    </w:p>
    <w:p>
      <w:pPr>
        <w:pStyle w:val="Heading2"/>
        <w:spacing w:before="320" w:after="160"/>
      </w:pPr>
      <w:r>
        <w:rPr>
          <w:b/>
          <w:bCs/>
          <w:color w:val="1e3a8a"/>
          <w:sz w:val="28"/>
          <w:szCs w:val="28"/>
          <w:rFonts w:ascii="Calibri" w:cs="Calibri" w:eastAsia="Calibri" w:hAnsi="Calibri"/>
        </w:rPr>
        <w:t xml:space="preserve">Controlo de versões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Versão</w:t>
            </w:r>
          </w:p>
        </w:tc>
        <w:tc>
          <w:tcPr>
            <w:shd w:color="1e3a8a" w:val="solid"/>
            <w:vAlign w:val="center"/>
          </w:tcPr>
          <w:p>
            <w:r>
              <w:rPr>
                <w:b/>
                <w:bCs/>
                <w:color w:val="ffffff"/>
                <w:sz w:val="22"/>
                <w:szCs w:val="22"/>
                <w:rFonts w:ascii="Calibri" w:cs="Calibri" w:eastAsia="Calibri" w:hAnsi="Calibri"/>
              </w:rPr>
              <w:t xml:space="preserve">Data</w:t>
            </w:r>
          </w:p>
        </w:tc>
        <w:tc>
          <w:tcPr>
            <w:shd w:color="1e3a8a" w:val="solid"/>
            <w:vAlign w:val="center"/>
          </w:tcPr>
          <w:p>
            <w:r>
              <w:rPr>
                <w:b/>
                <w:bCs/>
                <w:color w:val="ffffff"/>
                <w:sz w:val="22"/>
                <w:szCs w:val="22"/>
                <w:rFonts w:ascii="Calibri" w:cs="Calibri" w:eastAsia="Calibri" w:hAnsi="Calibri"/>
              </w:rPr>
              <w:t xml:space="preserve">Autor</w:t>
            </w:r>
          </w:p>
        </w:tc>
        <w:tc>
          <w:tcPr>
            <w:shd w:color="1e3a8a" w:val="solid"/>
            <w:vAlign w:val="center"/>
          </w:tcPr>
          <w:p>
            <w:r>
              <w:rPr>
                <w:b/>
                <w:bCs/>
                <w:color w:val="ffffff"/>
                <w:sz w:val="22"/>
                <w:szCs w:val="22"/>
                <w:rFonts w:ascii="Calibri" w:cs="Calibri" w:eastAsia="Calibri" w:hAnsi="Calibri"/>
              </w:rPr>
              <w:t xml:space="preserve">Alterações</w:t>
            </w:r>
          </w:p>
        </w:tc>
        <w:tc>
          <w:tcPr>
            <w:shd w:color="1e3a8a" w:val="solid"/>
            <w:vAlign w:val="center"/>
          </w:tcPr>
          <w:p>
            <w:r>
              <w:rPr>
                <w:b/>
                <w:bCs/>
                <w:color w:val="ffffff"/>
                <w:sz w:val="22"/>
                <w:szCs w:val="22"/>
                <w:rFonts w:ascii="Calibri" w:cs="Calibri" w:eastAsia="Calibri" w:hAnsi="Calibri"/>
              </w:rPr>
              <w:t xml:space="preserve">Aprovado por</w:t>
            </w:r>
          </w:p>
        </w:tc>
      </w:tr>
      <w:tr>
        <w:tc>
          <w:p>
            <w:r>
              <w:rPr>
                <w:color w:val="374151"/>
                <w:sz w:val="22"/>
                <w:szCs w:val="22"/>
                <w:rFonts w:ascii="Calibri" w:cs="Calibri" w:eastAsia="Calibri" w:hAnsi="Calibri"/>
              </w:rPr>
              <w:t xml:space="preserve">1.0</w:t>
            </w:r>
          </w:p>
        </w:tc>
        <w:tc>
          <w:p>
            <w:r>
              <w:rPr>
                <w:color w:val="374151"/>
                <w:sz w:val="22"/>
                <w:szCs w:val="22"/>
                <w:rFonts w:ascii="Calibri" w:cs="Calibri" w:eastAsia="Calibri" w:hAnsi="Calibri"/>
              </w:rPr>
            </w:r>
          </w:p>
        </w:tc>
        <w:tc>
          <w:p>
            <w:r>
              <w:rPr>
                <w:color w:val="374151"/>
                <w:sz w:val="22"/>
                <w:szCs w:val="22"/>
                <w:rFonts w:ascii="Calibri" w:cs="Calibri" w:eastAsia="Calibri" w:hAnsi="Calibri"/>
              </w:rPr>
              <w:t xml:space="preserve">[Autor]</w:t>
            </w:r>
          </w:p>
        </w:tc>
        <w:tc>
          <w:p>
            <w:r>
              <w:rPr>
                <w:color w:val="374151"/>
                <w:sz w:val="22"/>
                <w:szCs w:val="22"/>
                <w:rFonts w:ascii="Calibri" w:cs="Calibri" w:eastAsia="Calibri" w:hAnsi="Calibri"/>
              </w:rPr>
              <w:t xml:space="preserve">Versão inicial</w:t>
            </w:r>
          </w:p>
        </w:tc>
        <w:tc>
          <w:p>
            <w:r>
              <w:rPr>
                <w:color w:val="374151"/>
                <w:sz w:val="22"/>
                <w:szCs w:val="22"/>
                <w:rFonts w:ascii="Calibri" w:cs="Calibri" w:eastAsia="Calibri" w:hAnsi="Calibri"/>
              </w:rPr>
              <w:t xml:space="preserve">[Aprovador]</w:t>
            </w:r>
          </w:p>
        </w:tc>
      </w:tr>
    </w:tbl>
    <w:p>
      <w:r>
        <w:br w:type="page"/>
      </w:r>
    </w:p>
    <w:p>
      <w:pPr>
        <w:pStyle w:val="Heading1"/>
        <w:spacing w:before="400" w:after="200"/>
      </w:pPr>
      <w:r>
        <w:rPr>
          <w:b/>
          <w:bCs/>
          <w:color w:val="1e3a8a"/>
          <w:sz w:val="32"/>
          <w:szCs w:val="32"/>
          <w:rFonts w:ascii="Calibri" w:cs="Calibri" w:eastAsia="Calibri" w:hAnsi="Calibri"/>
        </w:rPr>
        <w:t xml:space="preserve">Como usar este documento</w:t>
      </w:r>
    </w:p>
    <w:p>
      <w:pPr>
        <w:spacing w:after="160"/>
      </w:pPr>
      <w:r>
        <w:rPr>
          <w:color w:val="374151"/>
          <w:sz w:val="22"/>
          <w:szCs w:val="22"/>
          <w:rFonts w:ascii="Calibri" w:cs="Calibri" w:eastAsia="Calibri" w:hAnsi="Calibri"/>
        </w:rPr>
        <w:t xml:space="preserve">Este pacote de exercício de mesa (tabletop) apoia a organização a testar, em ambiente controlado de discussão, a sua capacidade de resposta a um cenário setorial de cibersegurança, sem impactar sistemas em produção.</w:t>
      </w:r>
    </w:p>
    <w:p>
      <w:pPr>
        <w:spacing w:after="160"/>
      </w:pPr>
      <w:r>
        <w:rPr>
          <w:color w:val="374151"/>
          <w:sz w:val="22"/>
          <w:szCs w:val="22"/>
          <w:rFonts w:ascii="Calibri" w:cs="Calibri" w:eastAsia="Calibri" w:hAnsi="Calibri"/>
        </w:rPr>
        <w:t xml:space="preserve">Nota de honestidade legal: a lei não exige "exercícios de mesa" com este nome. O que a lei exige é um plano de resposta a incidentes testado (Art. 27.º n.º 1 alíneas a) e b) do DL 125/2025) e, para entidades públicas relevantes do Grupo A, a realização periódica de exercícios de phishing especificamente (Anexo IV, controlo H.EC, do Regulamento 756/2026). Este pacote é um instrumento de boa prática para operacionalizar essas obrigações genéricas — não substitui, por si só, o cumprimento de nenhuma delas, mas contribui como evidência de teste do plano de resposta a incidentes.</w:t>
      </w:r>
    </w:p>
    <w:p>
      <w:pPr>
        <w:pStyle w:val="ListParagraph"/>
        <w:numPr>
          <w:ilvl w:val="0"/>
          <w:numId w:val="1"/>
        </w:numPr>
        <w:spacing w:after="80"/>
      </w:pPr>
      <w:r>
        <w:rPr>
          <w:color w:val="374151"/>
          <w:sz w:val="22"/>
          <w:szCs w:val="22"/>
          <w:rFonts w:ascii="Calibri" w:cs="Calibri" w:eastAsia="Calibri" w:hAnsi="Calibri"/>
        </w:rPr>
        <w:t xml:space="preserve">Setor/perfil de entidade visado: Operador de rede de distribuição ou de transporte de eletricidade (Anexo I, ponto 1, do DL 125/2025).</w:t>
      </w:r>
    </w:p>
    <w:p>
      <w:pPr>
        <w:pStyle w:val="ListParagraph"/>
        <w:numPr>
          <w:ilvl w:val="0"/>
          <w:numId w:val="1"/>
        </w:numPr>
        <w:spacing w:after="80"/>
      </w:pPr>
      <w:r>
        <w:rPr>
          <w:color w:val="374151"/>
          <w:sz w:val="22"/>
          <w:szCs w:val="22"/>
          <w:rFonts w:ascii="Calibri" w:cs="Calibri" w:eastAsia="Calibri" w:hAnsi="Calibri"/>
        </w:rPr>
        <w:t xml:space="preserve">Adaptar o cenário base e os injects à realidade concreta da organização antes da realização do exercício.</w:t>
      </w:r>
    </w:p>
    <w:p>
      <w:pPr>
        <w:pStyle w:val="ListParagraph"/>
        <w:numPr>
          <w:ilvl w:val="0"/>
          <w:numId w:val="1"/>
        </w:numPr>
        <w:spacing w:after="80"/>
      </w:pPr>
      <w:r>
        <w:rPr>
          <w:color w:val="374151"/>
          <w:sz w:val="22"/>
          <w:szCs w:val="22"/>
          <w:rFonts w:ascii="Calibri" w:cs="Calibri" w:eastAsia="Calibri" w:hAnsi="Calibri"/>
        </w:rPr>
        <w:t xml:space="preserve">Reservar entre 2 a 4 horas para a condução do exercício, mais tempo de preparação (4-6 semanas antes) e de relatório (2 semanas depois).</w:t>
      </w:r>
    </w:p>
    <w:p>
      <w:pPr>
        <w:pStyle w:val="ListParagraph"/>
        <w:numPr>
          <w:ilvl w:val="0"/>
          <w:numId w:val="1"/>
        </w:numPr>
        <w:spacing w:after="80"/>
      </w:pPr>
      <w:r>
        <w:rPr>
          <w:color w:val="374151"/>
          <w:sz w:val="22"/>
          <w:szCs w:val="22"/>
          <w:rFonts w:ascii="Calibri" w:cs="Calibri" w:eastAsia="Calibri" w:hAnsi="Calibri"/>
        </w:rPr>
        <w:t xml:space="preserve">Este pacote complementa, sem substituir, o "Template de exercício tabletop" genérico já disponível no site — usar este quando se pretende um cenário setorial pronto a adaptar; usar o genérico quando se pretende construir um cenário à medida a partir de uma biblioteca mais ampla de cenários.</w:t>
      </w:r>
    </w:p>
    <w:p>
      <w:pPr>
        <w:pStyle w:val="ListParagraph"/>
        <w:numPr>
          <w:ilvl w:val="0"/>
          <w:numId w:val="1"/>
        </w:numPr>
        <w:spacing w:after="80"/>
      </w:pPr>
      <w:r>
        <w:rPr>
          <w:color w:val="374151"/>
          <w:sz w:val="22"/>
          <w:szCs w:val="22"/>
          <w:rFonts w:ascii="Calibri" w:cs="Calibri" w:eastAsia="Calibri" w:hAnsi="Calibri"/>
        </w:rPr>
        <w:t xml:space="preserve">Usar em conjunto com a "Ficha de avaliação de significância do incidente" durante os pontos de decisão do exercício.</w:t>
      </w:r>
    </w:p>
    <w:p>
      <w:pPr>
        <w:pStyle w:val="Heading1"/>
        <w:spacing w:before="400" w:after="200"/>
      </w:pPr>
      <w:r>
        <w:rPr>
          <w:b/>
          <w:bCs/>
          <w:color w:val="1e3a8a"/>
          <w:sz w:val="32"/>
          <w:szCs w:val="32"/>
          <w:rFonts w:ascii="Calibri" w:cs="Calibri" w:eastAsia="Calibri" w:hAnsi="Calibri"/>
        </w:rPr>
        <w:t xml:space="preserve">Enquadramento legal</w:t>
      </w:r>
    </w:p>
    <w:p>
      <w:pPr>
        <w:spacing w:after="160"/>
      </w:pPr>
      <w:r>
        <w:rPr>
          <w:color w:val="374151"/>
          <w:sz w:val="22"/>
          <w:szCs w:val="22"/>
          <w:rFonts w:ascii="Calibri" w:cs="Calibri" w:eastAsia="Calibri" w:hAnsi="Calibri"/>
        </w:rPr>
        <w:t xml:space="preserve">Este pacote destina-se a entidades do setor da energia (eletricidade, entre outros subsetores do Anexo I, ponto 1, do DL 125/2025) com ambientes de tecnologia operacional (OT) para monitorização e controlo de infraestrutura crítica. Grupos de ameaça persistentes visando infraestruturas críticas de energia, água e comunicações têm sido reportados publicamente por fontes como o FBI e empresas de segurança OT (ex.: relatórios sobre o grupo Volt Typhoon), o que justifica um cenário centrado em comprometimento de OT, sem que isto implique atribuição a um incidente concreto em Portugal.</w:t>
      </w:r>
    </w:p>
    <w:p>
      <w:pPr>
        <w:shd w:color="dbeafe" w:val="solid"/>
        <w:spacing w:before="160" w:after="160"/>
        <w:ind w:left="360" w:right="360"/>
      </w:pPr>
      <w:r>
        <w:rPr>
          <w:i/>
          <w:iCs/>
          <w:color w:val="1e3a8a"/>
          <w:sz w:val="22"/>
          <w:szCs w:val="22"/>
          <w:rFonts w:ascii="Calibri" w:cs="Calibri" w:eastAsia="Calibri" w:hAnsi="Calibri"/>
        </w:rPr>
        <w:t xml:space="preserve">Art. 27.º n.º 1 do DL 125/2025 (excerto): "As medidas de cibersegurança a adotar pelas entidades essenciais e importantes [...] abrangem, designadamente, as seguintes áreas: a) Tratamento de incidentes; b) Continuidade das atividades, como a gestão de cópias de segurança e a recuperação de desastres, e gestão de crises; [...] f) Práticas básicas de ciber-higiene e formação em cibersegurança, incluindo os titulares de órgãos máximos de gestão e trabalhadores."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GR.PP-2: "O Plano de Resposta a Incidentes é definido, comunicado, mantido e melhorado" — critério de verificação: "A entidade deve definir, aprovar, implementar e atualizar o Plano de Resposta a Incidentes com a devida atribuição e identificação de funções e responsabilidades."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GR.CA-8: "O Plano de Resposta a Incidentes e o Plano de Recuperação de Desastres são testados com o acompanhamento dos fornecedores" (nível Elevado: "A entidade deve incluir o pessoal-chave dos fornecedores nos seus exercícios e testes.")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GR.CO-5: "Os requisitos de resiliência necessários para suportar a prestação de serviços críticos são definidos" — critério de verificação (nível Substancial): "A entidade deve implementar mecanismos de redundância para garantir a disponibilidade dos serviços críticos [...] Plano de Continuidade de Negócio [...] com tempos de resposta para a recuperação dos serviços críticos"; (nível Elevado): "O Plano de Continuidade de Negócios deve ser testado."</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GR.PP-3: "O Plano de Recuperação de Desastres é definido, comunicado, mantido e melhorado."</w:t>
      </w:r>
    </w:p>
    <w:p>
      <w:pPr>
        <w:spacing w:after="160"/>
      </w:pPr>
      <w:r>
        <w:rPr>
          <w:color w:val="374151"/>
          <w:sz w:val="22"/>
          <w:szCs w:val="22"/>
          <w:rFonts w:ascii="Calibri" w:cs="Calibri" w:eastAsia="Calibri" w:hAnsi="Calibri"/>
        </w:rPr>
        <w:t xml:space="preserve">Regulamento 756/2026, Anexo IV, controlo H.EC (aplicável a entidades públicas relevantes do Grupo A): "A entidade deve garantir a realização periódica de exercícios de phishing, que permitam avaliar o grau de preparação do seu pessoal", com "registo documentado dos resultados dos exercícios realizados, assim como as conclusões e iniciativas com base nesses resultados." Este controlo é específico de exercícios de phishing, distinto do exercício de mesa aqui descrito, mas do mesmo espírito de teste periódico.</w:t>
      </w:r>
    </w:p>
    <w:p>
      <w:r>
        <w:br w:type="page"/>
      </w:r>
    </w:p>
    <w:p>
      <w:pPr>
        <w:pStyle w:val="Heading1"/>
        <w:spacing w:before="400" w:after="200"/>
      </w:pPr>
      <w:r>
        <w:rPr>
          <w:b/>
          <w:bCs/>
          <w:color w:val="1e3a8a"/>
          <w:sz w:val="32"/>
          <w:szCs w:val="32"/>
          <w:rFonts w:ascii="Calibri" w:cs="Calibri" w:eastAsia="Calibri" w:hAnsi="Calibri"/>
        </w:rPr>
        <w:t xml:space="preserve">1. Objetivos de aprendizagem</w:t>
      </w:r>
    </w:p>
    <w:p>
      <w:pPr>
        <w:pStyle w:val="ListParagraph"/>
        <w:numPr>
          <w:ilvl w:val="0"/>
          <w:numId w:val="1"/>
        </w:numPr>
        <w:spacing w:after="80"/>
      </w:pPr>
      <w:r>
        <w:rPr>
          <w:color w:val="374151"/>
          <w:sz w:val="22"/>
          <w:szCs w:val="22"/>
          <w:rFonts w:ascii="Calibri" w:cs="Calibri" w:eastAsia="Calibri" w:hAnsi="Calibri"/>
        </w:rPr>
        <w:t xml:space="preserve">Testar a eficácia do plano de resposta a incidentes perante um cenário realista do setor.</w:t>
      </w:r>
    </w:p>
    <w:p>
      <w:pPr>
        <w:pStyle w:val="ListParagraph"/>
        <w:numPr>
          <w:ilvl w:val="0"/>
          <w:numId w:val="1"/>
        </w:numPr>
        <w:spacing w:after="80"/>
      </w:pPr>
      <w:r>
        <w:rPr>
          <w:color w:val="374151"/>
          <w:sz w:val="22"/>
          <w:szCs w:val="22"/>
          <w:rFonts w:ascii="Calibri" w:cs="Calibri" w:eastAsia="Calibri" w:hAnsi="Calibri"/>
        </w:rPr>
        <w:t xml:space="preserve">Identificar lacunas nos procedimentos, na comunicação e na tomada de decisão.</w:t>
      </w:r>
    </w:p>
    <w:p>
      <w:pPr>
        <w:pStyle w:val="ListParagraph"/>
        <w:numPr>
          <w:ilvl w:val="0"/>
          <w:numId w:val="1"/>
        </w:numPr>
        <w:spacing w:after="80"/>
      </w:pPr>
      <w:r>
        <w:rPr>
          <w:color w:val="374151"/>
          <w:sz w:val="22"/>
          <w:szCs w:val="22"/>
          <w:rFonts w:ascii="Calibri" w:cs="Calibri" w:eastAsia="Calibri" w:hAnsi="Calibri"/>
        </w:rPr>
        <w:t xml:space="preserve">Praticar o teste dos critérios de significância do incidente (Art. 2.º alínea l) e Art. 40.º n.º 3 do DL 125/2025) sob pressão de tempo.</w:t>
      </w:r>
    </w:p>
    <w:p>
      <w:pPr>
        <w:pStyle w:val="ListParagraph"/>
        <w:numPr>
          <w:ilvl w:val="0"/>
          <w:numId w:val="1"/>
        </w:numPr>
        <w:spacing w:after="80"/>
      </w:pPr>
      <w:r>
        <w:rPr>
          <w:color w:val="374151"/>
          <w:sz w:val="22"/>
          <w:szCs w:val="22"/>
          <w:rFonts w:ascii="Calibri" w:cs="Calibri" w:eastAsia="Calibri" w:hAnsi="Calibri"/>
        </w:rPr>
        <w:t xml:space="preserve">Praticar o relógio de notificação: 24 horas (alerta precoce, Art. 42.º), 72 horas (atualização, quando necessário, Art. 42.º n.º 3), 24 horas (fim de impacto, Art. 43.º) e 30 dias úteis (relatório final, Art. 44.º), via plataforma MyCiber.</w:t>
      </w:r>
    </w:p>
    <w:p>
      <w:pPr>
        <w:pStyle w:val="ListParagraph"/>
        <w:numPr>
          <w:ilvl w:val="0"/>
          <w:numId w:val="1"/>
        </w:numPr>
        <w:spacing w:after="80"/>
      </w:pPr>
      <w:r>
        <w:rPr>
          <w:color w:val="374151"/>
          <w:sz w:val="22"/>
          <w:szCs w:val="22"/>
          <w:rFonts w:ascii="Calibri" w:cs="Calibri" w:eastAsia="Calibri" w:hAnsi="Calibri"/>
        </w:rPr>
        <w:t xml:space="preserve">Avaliar a necessidade de notificação à CNPD (RGPD, art. 33.º, no prazo de 72 horas após ter conhecimento da violação) e, se o incidente for suscetível de resultar num elevado risco para os titulares dos dados, de comunicação a estes últimos (RGPD, art. 34.º, sem demora injustificada, sem prazo fixo).</w:t>
      </w:r>
    </w:p>
    <w:p>
      <w:pPr>
        <w:pStyle w:val="ListParagraph"/>
        <w:numPr>
          <w:ilvl w:val="0"/>
          <w:numId w:val="1"/>
        </w:numPr>
        <w:spacing w:after="80"/>
      </w:pPr>
      <w:r>
        <w:rPr>
          <w:color w:val="374151"/>
          <w:sz w:val="22"/>
          <w:szCs w:val="22"/>
          <w:rFonts w:ascii="Calibri" w:cs="Calibri" w:eastAsia="Calibri" w:hAnsi="Calibri"/>
        </w:rPr>
        <w:t xml:space="preserve">Demonstrar o envolvimento do órgão de gestão na resposta a incidentes (Art. 25.º do DL 125/2025).</w:t>
      </w:r>
    </w:p>
    <w:p>
      <w:pPr>
        <w:pStyle w:val="ListParagraph"/>
        <w:numPr>
          <w:ilvl w:val="0"/>
          <w:numId w:val="1"/>
        </w:numPr>
        <w:spacing w:after="80"/>
      </w:pPr>
      <w:r>
        <w:rPr>
          <w:color w:val="374151"/>
          <w:sz w:val="22"/>
          <w:szCs w:val="22"/>
          <w:rFonts w:ascii="Calibri" w:cs="Calibri" w:eastAsia="Calibri" w:hAnsi="Calibri"/>
        </w:rPr>
        <w:t xml:space="preserve">Gerar registo documental como evidência dos controlos GR.PP-2, GR.CA-8, RC.PR-1 e ID.MC-3 do Anexo III do Regulamento 756/2026.</w:t>
      </w:r>
    </w:p>
    <w:p>
      <w:pPr>
        <w:pStyle w:val="Heading1"/>
        <w:spacing w:before="400" w:after="200"/>
      </w:pPr>
      <w:r>
        <w:rPr>
          <w:b/>
          <w:bCs/>
          <w:color w:val="1e3a8a"/>
          <w:sz w:val="32"/>
          <w:szCs w:val="32"/>
          <w:rFonts w:ascii="Calibri" w:cs="Calibri" w:eastAsia="Calibri" w:hAnsi="Calibri"/>
        </w:rPr>
        <w:t xml:space="preserve">2. Perfil da organização e cenário base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35%"/>
            <w:shd w:color="1e3a8a" w:val="solid"/>
            <w:vAlign w:val="center"/>
          </w:tcPr>
          <w:p>
            <w:r>
              <w:rPr>
                <w:b/>
                <w:bCs/>
                <w:color w:val="ffffff"/>
                <w:sz w:val="22"/>
                <w:szCs w:val="22"/>
                <w:rFonts w:ascii="Calibri" w:cs="Calibri" w:eastAsia="Calibri" w:hAnsi="Calibri"/>
              </w:rPr>
              <w:t xml:space="preserve">Campo</w:t>
            </w:r>
          </w:p>
        </w:tc>
        <w:tc>
          <w:tcPr>
            <w:tcW w:type="pct" w:w="65%"/>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Nome da organização</w:t>
            </w:r>
          </w:p>
        </w:tc>
        <w:tc>
          <w:tcPr>
            <w:vAlign w:val="center"/>
          </w:tcPr>
          <w:p>
            <w:r>
              <w:rPr>
                <w:b w:val="false"/>
                <w:bCs w:val="false"/>
                <w:color w:val="374151"/>
                <w:sz w:val="22"/>
                <w:szCs w:val="22"/>
                <w:rFonts w:ascii="Calibri" w:cs="Calibri" w:eastAsia="Calibri" w:hAnsi="Calibri"/>
              </w:rPr>
              <w:t xml:space="preserve">[Preencher]</w:t>
            </w:r>
          </w:p>
        </w:tc>
      </w:tr>
      <w:tr>
        <w:tc>
          <w:tcPr>
            <w:shd w:color="f3f4f6" w:val="solid"/>
            <w:vAlign w:val="center"/>
          </w:tcPr>
          <w:p>
            <w:r>
              <w:rPr>
                <w:b w:val="false"/>
                <w:bCs w:val="false"/>
                <w:color w:val="374151"/>
                <w:sz w:val="22"/>
                <w:szCs w:val="22"/>
                <w:rFonts w:ascii="Calibri" w:cs="Calibri" w:eastAsia="Calibri" w:hAnsi="Calibri"/>
              </w:rPr>
              <w:t xml:space="preserve">Tipo de entidade</w:t>
            </w:r>
          </w:p>
        </w:tc>
        <w:tc>
          <w:tcPr>
            <w:vAlign w:val="center"/>
          </w:tcPr>
          <w:p>
            <w:r>
              <w:rPr>
                <w:b w:val="false"/>
                <w:bCs w:val="false"/>
                <w:color w:val="374151"/>
                <w:sz w:val="22"/>
                <w:szCs w:val="22"/>
                <w:rFonts w:ascii="Calibri" w:cs="Calibri" w:eastAsia="Calibri" w:hAnsi="Calibri"/>
              </w:rPr>
              <w:t xml:space="preserve">Operador de rede de distribuição ou de transporte de eletricidade (Anexo I, ponto 1, do DL 125/2025)</w:t>
            </w:r>
          </w:p>
        </w:tc>
      </w:tr>
      <w:tr>
        <w:tc>
          <w:tcPr>
            <w:shd w:color="f3f4f6" w:val="solid"/>
            <w:vAlign w:val="center"/>
          </w:tcPr>
          <w:p>
            <w:r>
              <w:rPr>
                <w:b w:val="false"/>
                <w:bCs w:val="false"/>
                <w:color w:val="374151"/>
                <w:sz w:val="22"/>
                <w:szCs w:val="22"/>
                <w:rFonts w:ascii="Calibri" w:cs="Calibri" w:eastAsia="Calibri" w:hAnsi="Calibri"/>
              </w:rPr>
              <w:t xml:space="preserve">Data do exercício</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Duração prevista</w:t>
            </w:r>
          </w:p>
        </w:tc>
        <w:tc>
          <w:tcPr>
            <w:vAlign w:val="center"/>
          </w:tcPr>
          <w:p>
            <w:r>
              <w:rPr>
                <w:b w:val="false"/>
                <w:bCs w:val="false"/>
                <w:color w:val="374151"/>
                <w:sz w:val="22"/>
                <w:szCs w:val="22"/>
                <w:rFonts w:ascii="Calibri" w:cs="Calibri" w:eastAsia="Calibri" w:hAnsi="Calibri"/>
              </w:rPr>
              <w:t xml:space="preserve">[2 a 4 horas]</w:t>
            </w:r>
          </w:p>
        </w:tc>
      </w:tr>
      <w:tr>
        <w:tc>
          <w:tcPr>
            <w:shd w:color="f3f4f6" w:val="solid"/>
            <w:vAlign w:val="center"/>
          </w:tcPr>
          <w:p>
            <w:r>
              <w:rPr>
                <w:b w:val="false"/>
                <w:bCs w:val="false"/>
                <w:color w:val="374151"/>
                <w:sz w:val="22"/>
                <w:szCs w:val="22"/>
                <w:rFonts w:ascii="Calibri" w:cs="Calibri" w:eastAsia="Calibri" w:hAnsi="Calibri"/>
              </w:rPr>
              <w:t xml:space="preserve">Facilitador</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Observador independente</w:t>
            </w:r>
          </w:p>
        </w:tc>
        <w:tc>
          <w:tcPr>
            <w:vAlign w:val="center"/>
          </w:tcPr>
          <w:p>
            <w:r>
              <w:rPr>
                <w:b w:val="false"/>
                <w:bCs w:val="false"/>
                <w:color w:val="374151"/>
                <w:sz w:val="22"/>
                <w:szCs w:val="22"/>
                <w:rFonts w:ascii="Calibri" w:cs="Calibri" w:eastAsia="Calibri" w:hAnsi="Calibri"/>
              </w:rPr>
              <w:t xml:space="preserve">[Nome]</w:t>
            </w:r>
          </w:p>
        </w:tc>
      </w:tr>
    </w:tbl>
    <w:p>
      <w:pPr>
        <w:spacing w:after="160"/>
      </w:pPr>
      <w:r>
        <w:rPr>
          <w:color w:val="374151"/>
          <w:sz w:val="22"/>
          <w:szCs w:val="22"/>
          <w:rFonts w:ascii="Calibri" w:cs="Calibri" w:eastAsia="Calibri" w:hAnsi="Calibri"/>
        </w:rPr>
        <w:t xml:space="preserve">[Preencher com o contexto real da organização.] O centro de controlo deteta comportamento anómalo num sistema de supervisão e aquisição de dados (SCADA) numa subestação. Não há impacto visível imediato no fornecimento, mas os engenheiros suspeitam de acesso não autorizado persistente na rede OT, possivelmente através de um equipamento fornecido por um terceiro.</w:t>
      </w:r>
    </w:p>
    <w:p>
      <w:pPr>
        <w:pStyle w:val="Heading1"/>
        <w:spacing w:before="400" w:after="200"/>
      </w:pPr>
      <w:r>
        <w:rPr>
          <w:b/>
          <w:bCs/>
          <w:color w:val="1e3a8a"/>
          <w:sz w:val="32"/>
          <w:szCs w:val="32"/>
          <w:rFonts w:ascii="Calibri" w:cs="Calibri" w:eastAsia="Calibri" w:hAnsi="Calibri"/>
        </w:rPr>
        <w:t xml:space="preserve">3. Papéis e participantes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Função</w:t>
            </w:r>
          </w:p>
        </w:tc>
        <w:tc>
          <w:tcPr>
            <w:tcW w:type="pct" w:w="45%"/>
            <w:shd w:color="1e3a8a" w:val="solid"/>
            <w:vAlign w:val="center"/>
          </w:tcPr>
          <w:p>
            <w:r>
              <w:rPr>
                <w:b/>
                <w:bCs/>
                <w:color w:val="ffffff"/>
                <w:sz w:val="22"/>
                <w:szCs w:val="22"/>
                <w:rFonts w:ascii="Calibri" w:cs="Calibri" w:eastAsia="Calibri" w:hAnsi="Calibri"/>
              </w:rPr>
              <w:t xml:space="preserve">Papel no exercício</w:t>
            </w:r>
          </w:p>
        </w:tc>
        <w:tc>
          <w:tcPr>
            <w:tcW w:type="pct" w:w="25%"/>
            <w:shd w:color="1e3a8a" w:val="solid"/>
            <w:vAlign w:val="center"/>
          </w:tcPr>
          <w:p>
            <w:r>
              <w:rPr>
                <w:b/>
                <w:bCs/>
                <w:color w:val="ffffff"/>
                <w:sz w:val="22"/>
                <w:szCs w:val="22"/>
                <w:rFonts w:ascii="Calibri" w:cs="Calibri" w:eastAsia="Calibri" w:hAnsi="Calibri"/>
              </w:rPr>
              <w:t xml:space="preserve">Participante (preencher)</w:t>
            </w:r>
          </w:p>
        </w:tc>
      </w:tr>
      <w:tr>
        <w:tc>
          <w:tcPr>
            <w:shd w:color="f3f4f6" w:val="solid"/>
            <w:vAlign w:val="center"/>
          </w:tcPr>
          <w:p>
            <w:r>
              <w:rPr>
                <w:b w:val="false"/>
                <w:bCs w:val="false"/>
                <w:color w:val="374151"/>
                <w:sz w:val="22"/>
                <w:szCs w:val="22"/>
                <w:rFonts w:ascii="Calibri" w:cs="Calibri" w:eastAsia="Calibri" w:hAnsi="Calibri"/>
              </w:rPr>
              <w:t xml:space="preserve">Facilitador</w:t>
            </w:r>
          </w:p>
        </w:tc>
        <w:tc>
          <w:tcPr>
            <w:vAlign w:val="center"/>
          </w:tcPr>
          <w:p>
            <w:r>
              <w:rPr>
                <w:b w:val="false"/>
                <w:bCs w:val="false"/>
                <w:color w:val="374151"/>
                <w:sz w:val="22"/>
                <w:szCs w:val="22"/>
                <w:rFonts w:ascii="Calibri" w:cs="Calibri" w:eastAsia="Calibri" w:hAnsi="Calibri"/>
              </w:rPr>
              <w:t xml:space="preserve">Conduz o exercício, apresenta os injects, gere o tempo</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Observador independente</w:t>
            </w:r>
          </w:p>
        </w:tc>
        <w:tc>
          <w:tcPr>
            <w:vAlign w:val="center"/>
          </w:tcPr>
          <w:p>
            <w:r>
              <w:rPr>
                <w:b w:val="false"/>
                <w:bCs w:val="false"/>
                <w:color w:val="374151"/>
                <w:sz w:val="22"/>
                <w:szCs w:val="22"/>
                <w:rFonts w:ascii="Calibri" w:cs="Calibri" w:eastAsia="Calibri" w:hAnsi="Calibri"/>
              </w:rPr>
              <w:t xml:space="preserve">Regista observações para o relatório pós-exercício, sem participar nas decisões</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Órgão de gestão / C-Level</w:t>
            </w:r>
          </w:p>
        </w:tc>
        <w:tc>
          <w:tcPr>
            <w:vAlign w:val="center"/>
          </w:tcPr>
          <w:p>
            <w:r>
              <w:rPr>
                <w:b w:val="false"/>
                <w:bCs w:val="false"/>
                <w:color w:val="374151"/>
                <w:sz w:val="22"/>
                <w:szCs w:val="22"/>
                <w:rFonts w:ascii="Calibri" w:cs="Calibri" w:eastAsia="Calibri" w:hAnsi="Calibri"/>
              </w:rPr>
              <w:t xml:space="preserve">Toma decisões estratégicas (comunicação pública, pagamento de resgate, ativação de crise)</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Responsável de cibersegurança (Art. 31.º)</w:t>
            </w:r>
          </w:p>
        </w:tc>
        <w:tc>
          <w:tcPr>
            <w:vAlign w:val="center"/>
          </w:tcPr>
          <w:p>
            <w:r>
              <w:rPr>
                <w:b w:val="false"/>
                <w:bCs w:val="false"/>
                <w:color w:val="374151"/>
                <w:sz w:val="22"/>
                <w:szCs w:val="22"/>
                <w:rFonts w:ascii="Calibri" w:cs="Calibri" w:eastAsia="Calibri" w:hAnsi="Calibri"/>
              </w:rPr>
              <w:t xml:space="preserve">Coordena a resposta técnica e a avaliação de significância</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Ponto de contacto permanente (Art. 32.º)</w:t>
            </w:r>
          </w:p>
        </w:tc>
        <w:tc>
          <w:tcPr>
            <w:vAlign w:val="center"/>
          </w:tcPr>
          <w:p>
            <w:r>
              <w:rPr>
                <w:b w:val="false"/>
                <w:bCs w:val="false"/>
                <w:color w:val="374151"/>
                <w:sz w:val="22"/>
                <w:szCs w:val="22"/>
                <w:rFonts w:ascii="Calibri" w:cs="Calibri" w:eastAsia="Calibri" w:hAnsi="Calibri"/>
              </w:rPr>
              <w:t xml:space="preserve">Interface com o CNCS e submissão das notificações na plataforma MyCiber</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Comunicação/relações públicas</w:t>
            </w:r>
          </w:p>
        </w:tc>
        <w:tc>
          <w:tcPr>
            <w:vAlign w:val="center"/>
          </w:tcPr>
          <w:p>
            <w:r>
              <w:rPr>
                <w:b w:val="false"/>
                <w:bCs w:val="false"/>
                <w:color w:val="374151"/>
                <w:sz w:val="22"/>
                <w:szCs w:val="22"/>
                <w:rFonts w:ascii="Calibri" w:cs="Calibri" w:eastAsia="Calibri" w:hAnsi="Calibri"/>
              </w:rPr>
              <w:t xml:space="preserve">Gere a comunicação externa (media, clientes, redes sociais)</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Jurídico/DPO</w:t>
            </w:r>
          </w:p>
        </w:tc>
        <w:tc>
          <w:tcPr>
            <w:vAlign w:val="center"/>
          </w:tcPr>
          <w:p>
            <w:r>
              <w:rPr>
                <w:b w:val="false"/>
                <w:bCs w:val="false"/>
                <w:color w:val="374151"/>
                <w:sz w:val="22"/>
                <w:szCs w:val="22"/>
                <w:rFonts w:ascii="Calibri" w:cs="Calibri" w:eastAsia="Calibri" w:hAnsi="Calibri"/>
              </w:rPr>
              <w:t xml:space="preserve">Avalia obrigações legais adicionais, incluindo eventual notificação à CNPD</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Operações/TI ou OT</w:t>
            </w:r>
          </w:p>
        </w:tc>
        <w:tc>
          <w:tcPr>
            <w:vAlign w:val="center"/>
          </w:tcPr>
          <w:p>
            <w:r>
              <w:rPr>
                <w:b w:val="false"/>
                <w:bCs w:val="false"/>
                <w:color w:val="374151"/>
                <w:sz w:val="22"/>
                <w:szCs w:val="22"/>
                <w:rFonts w:ascii="Calibri" w:cs="Calibri" w:eastAsia="Calibri" w:hAnsi="Calibri"/>
              </w:rPr>
              <w:t xml:space="preserve">Representa as equipas técnicas responsáveis pelos sistemas afetados</w:t>
            </w:r>
          </w:p>
        </w:tc>
        <w:tc>
          <w:tcPr>
            <w:vAlign w:val="center"/>
          </w:tcPr>
          <w:p>
            <w:r>
              <w:rPr>
                <w:b w:val="false"/>
                <w:bCs w:val="false"/>
                <w:color w:val="374151"/>
                <w:sz w:val="22"/>
                <w:szCs w:val="22"/>
                <w:rFonts w:ascii="Calibri" w:cs="Calibri" w:eastAsia="Calibri" w:hAnsi="Calibri"/>
              </w:rPr>
              <w:t xml:space="preserve">[Nome]</w:t>
            </w:r>
          </w:p>
        </w:tc>
      </w:tr>
    </w:tbl>
    <w:p>
      <w:r>
        <w:br w:type="page"/>
      </w:r>
    </w:p>
    <w:p>
      <w:pPr>
        <w:pStyle w:val="Heading1"/>
        <w:spacing w:before="400" w:after="200"/>
      </w:pPr>
      <w:r>
        <w:rPr>
          <w:b/>
          <w:bCs/>
          <w:color w:val="1e3a8a"/>
          <w:sz w:val="32"/>
          <w:szCs w:val="32"/>
          <w:rFonts w:ascii="Calibri" w:cs="Calibri" w:eastAsia="Calibri" w:hAnsi="Calibri"/>
        </w:rPr>
        <w:t xml:space="preserve">4. Sequência de injects e pontos de decisão</w:t>
      </w:r>
    </w:p>
    <w:p>
      <w:pPr>
        <w:spacing w:after="160"/>
      </w:pPr>
      <w:r>
        <w:rPr>
          <w:color w:val="374151"/>
          <w:sz w:val="22"/>
          <w:szCs w:val="22"/>
          <w:rFonts w:ascii="Calibri" w:cs="Calibri" w:eastAsia="Calibri" w:hAnsi="Calibri"/>
        </w:rPr>
        <w:t xml:space="preserve">A tabela seguinte apresenta a sequência de eventos simulados (injects) a introduzir durante o exercício, com o horário simulado (T) e a decisão que os participantes devem tomar em cada ponto. O facilitador introduz cada inject apenas depois de o grupo ter esgotado a discussão do anterior, ou ao horário simulado previsto, consoante o formato escolhido.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15%"/>
            <w:shd w:color="1e3a8a" w:val="solid"/>
            <w:vAlign w:val="center"/>
          </w:tcPr>
          <w:p>
            <w:r>
              <w:rPr>
                <w:b/>
                <w:bCs/>
                <w:color w:val="ffffff"/>
                <w:sz w:val="22"/>
                <w:szCs w:val="22"/>
                <w:rFonts w:ascii="Calibri" w:cs="Calibri" w:eastAsia="Calibri" w:hAnsi="Calibri"/>
              </w:rPr>
              <w:t xml:space="preserve">T (horário simulado)</w:t>
            </w:r>
          </w:p>
        </w:tc>
        <w:tc>
          <w:tcPr>
            <w:tcW w:type="pct" w:w="45%"/>
            <w:shd w:color="1e3a8a" w:val="solid"/>
            <w:vAlign w:val="center"/>
          </w:tcPr>
          <w:p>
            <w:r>
              <w:rPr>
                <w:b/>
                <w:bCs/>
                <w:color w:val="ffffff"/>
                <w:sz w:val="22"/>
                <w:szCs w:val="22"/>
                <w:rFonts w:ascii="Calibri" w:cs="Calibri" w:eastAsia="Calibri" w:hAnsi="Calibri"/>
              </w:rPr>
              <w:t xml:space="preserve">Inject (evento introduzido)</w:t>
            </w:r>
          </w:p>
        </w:tc>
        <w:tc>
          <w:tcPr>
            <w:tcW w:type="pct" w:w="40%"/>
            <w:shd w:color="1e3a8a" w:val="solid"/>
            <w:vAlign w:val="center"/>
          </w:tcPr>
          <w:p>
            <w:r>
              <w:rPr>
                <w:b/>
                <w:bCs/>
                <w:color w:val="ffffff"/>
                <w:sz w:val="22"/>
                <w:szCs w:val="22"/>
                <w:rFonts w:ascii="Calibri" w:cs="Calibri" w:eastAsia="Calibri" w:hAnsi="Calibri"/>
              </w:rPr>
              <w:t xml:space="preserve">Decisão exigida aos participantes</w:t>
            </w:r>
          </w:p>
        </w:tc>
      </w:tr>
      <w:tr>
        <w:tc>
          <w:tcPr>
            <w:shd w:color="f3f4f6" w:val="solid"/>
            <w:vAlign w:val="center"/>
          </w:tcPr>
          <w:p>
            <w:r>
              <w:rPr>
                <w:b w:val="false"/>
                <w:bCs w:val="false"/>
                <w:color w:val="374151"/>
                <w:sz w:val="22"/>
                <w:szCs w:val="22"/>
                <w:rFonts w:ascii="Calibri" w:cs="Calibri" w:eastAsia="Calibri" w:hAnsi="Calibri"/>
              </w:rPr>
              <w:t xml:space="preserve">T+0</w:t>
            </w:r>
          </w:p>
        </w:tc>
        <w:tc>
          <w:tcPr>
            <w:vAlign w:val="center"/>
          </w:tcPr>
          <w:p>
            <w:r>
              <w:rPr>
                <w:b w:val="false"/>
                <w:bCs w:val="false"/>
                <w:color w:val="374151"/>
                <w:sz w:val="22"/>
                <w:szCs w:val="22"/>
                <w:rFonts w:ascii="Calibri" w:cs="Calibri" w:eastAsia="Calibri" w:hAnsi="Calibri"/>
              </w:rPr>
              <w:t xml:space="preserve">Alertas de segurança indicam tráfego de rede incomum entre a rede OT e um segmento normalmente isolado.</w:t>
            </w:r>
          </w:p>
        </w:tc>
        <w:tc>
          <w:tcPr>
            <w:vAlign w:val="center"/>
          </w:tcPr>
          <w:p>
            <w:r>
              <w:rPr>
                <w:b w:val="false"/>
                <w:bCs w:val="false"/>
                <w:color w:val="374151"/>
                <w:sz w:val="22"/>
                <w:szCs w:val="22"/>
                <w:rFonts w:ascii="Calibri" w:cs="Calibri" w:eastAsia="Calibri" w:hAnsi="Calibri"/>
              </w:rPr>
              <w:t xml:space="preserve">Ativar o procedimento de resposta a incidentes OT. Isolar o segmento afetado sem interromper o fornecimento de eletricidade?</w:t>
            </w:r>
          </w:p>
        </w:tc>
      </w:tr>
      <w:tr>
        <w:tc>
          <w:tcPr>
            <w:shd w:color="f3f4f6" w:val="solid"/>
            <w:vAlign w:val="center"/>
          </w:tcPr>
          <w:p>
            <w:r>
              <w:rPr>
                <w:b w:val="false"/>
                <w:bCs w:val="false"/>
                <w:color w:val="374151"/>
                <w:sz w:val="22"/>
                <w:szCs w:val="22"/>
                <w:rFonts w:ascii="Calibri" w:cs="Calibri" w:eastAsia="Calibri" w:hAnsi="Calibri"/>
              </w:rPr>
              <w:t xml:space="preserve">T+1h</w:t>
            </w:r>
          </w:p>
        </w:tc>
        <w:tc>
          <w:tcPr>
            <w:vAlign w:val="center"/>
          </w:tcPr>
          <w:p>
            <w:r>
              <w:rPr>
                <w:b w:val="false"/>
                <w:bCs w:val="false"/>
                <w:color w:val="374151"/>
                <w:sz w:val="22"/>
                <w:szCs w:val="22"/>
                <w:rFonts w:ascii="Calibri" w:cs="Calibri" w:eastAsia="Calibri" w:hAnsi="Calibri"/>
              </w:rPr>
              <w:t xml:space="preserve">A equipa confirma acesso não autorizado a um equipamento de controlo fornecido por um terceiro fornecedor de OT.</w:t>
            </w:r>
          </w:p>
        </w:tc>
        <w:tc>
          <w:tcPr>
            <w:vAlign w:val="center"/>
          </w:tcPr>
          <w:p>
            <w:r>
              <w:rPr>
                <w:b w:val="false"/>
                <w:bCs w:val="false"/>
                <w:color w:val="374151"/>
                <w:sz w:val="22"/>
                <w:szCs w:val="22"/>
                <w:rFonts w:ascii="Calibri" w:cs="Calibri" w:eastAsia="Calibri" w:hAnsi="Calibri"/>
              </w:rPr>
              <w:t xml:space="preserve">Isto liga-se à segurança da cadeia de abastecimento (Art. 28.º do DL 125/2025). O contrato com o fornecedor prevê notificação em cascata? (Ver adenda contratual para fornecedores de serviços TIC geridos.)</w:t>
            </w:r>
          </w:p>
        </w:tc>
      </w:tr>
      <w:tr>
        <w:tc>
          <w:tcPr>
            <w:shd w:color="f3f4f6" w:val="solid"/>
            <w:vAlign w:val="center"/>
          </w:tcPr>
          <w:p>
            <w:r>
              <w:rPr>
                <w:b w:val="false"/>
                <w:bCs w:val="false"/>
                <w:color w:val="374151"/>
                <w:sz w:val="22"/>
                <w:szCs w:val="22"/>
                <w:rFonts w:ascii="Calibri" w:cs="Calibri" w:eastAsia="Calibri" w:hAnsi="Calibri"/>
              </w:rPr>
              <w:t xml:space="preserve">T+3h</w:t>
            </w:r>
          </w:p>
        </w:tc>
        <w:tc>
          <w:tcPr>
            <w:vAlign w:val="center"/>
          </w:tcPr>
          <w:p>
            <w:r>
              <w:rPr>
                <w:b w:val="false"/>
                <w:bCs w:val="false"/>
                <w:color w:val="374151"/>
                <w:sz w:val="22"/>
                <w:szCs w:val="22"/>
                <w:rFonts w:ascii="Calibri" w:cs="Calibri" w:eastAsia="Calibri" w:hAnsi="Calibri"/>
              </w:rPr>
              <w:t xml:space="preserve">Engenheiros propõem isolar preventivamente uma subestação, com risco de perturbação localizada do fornecimento.</w:t>
            </w:r>
          </w:p>
        </w:tc>
        <w:tc>
          <w:tcPr>
            <w:vAlign w:val="center"/>
          </w:tcPr>
          <w:p>
            <w:r>
              <w:rPr>
                <w:b w:val="false"/>
                <w:bCs w:val="false"/>
                <w:color w:val="374151"/>
                <w:sz w:val="22"/>
                <w:szCs w:val="22"/>
                <w:rFonts w:ascii="Calibri" w:cs="Calibri" w:eastAsia="Calibri" w:hAnsi="Calibri"/>
              </w:rPr>
              <w:t xml:space="preserve">Quem decide? Como se pondera o risco de segurança contra o risco de perturbação do serviço a clientes?</w:t>
            </w:r>
          </w:p>
        </w:tc>
      </w:tr>
      <w:tr>
        <w:tc>
          <w:tcPr>
            <w:shd w:color="f3f4f6" w:val="solid"/>
            <w:vAlign w:val="center"/>
          </w:tcPr>
          <w:p>
            <w:r>
              <w:rPr>
                <w:b w:val="false"/>
                <w:bCs w:val="false"/>
                <w:color w:val="374151"/>
                <w:sz w:val="22"/>
                <w:szCs w:val="22"/>
                <w:rFonts w:ascii="Calibri" w:cs="Calibri" w:eastAsia="Calibri" w:hAnsi="Calibri"/>
              </w:rPr>
              <w:t xml:space="preserve">T+6h</w:t>
            </w:r>
          </w:p>
        </w:tc>
        <w:tc>
          <w:tcPr>
            <w:vAlign w:val="center"/>
          </w:tcPr>
          <w:p>
            <w:r>
              <w:rPr>
                <w:b w:val="false"/>
                <w:bCs w:val="false"/>
                <w:color w:val="374151"/>
                <w:sz w:val="22"/>
                <w:szCs w:val="22"/>
                <w:rFonts w:ascii="Calibri" w:cs="Calibri" w:eastAsia="Calibri" w:hAnsi="Calibri"/>
              </w:rPr>
              <w:t xml:space="preserve">É necessário decidir se o evento constitui "incidente significativo" nos termos do Art. 2.º alínea l) do DL 125/2025.</w:t>
            </w:r>
          </w:p>
        </w:tc>
        <w:tc>
          <w:tcPr>
            <w:vAlign w:val="center"/>
          </w:tcPr>
          <w:p>
            <w:r>
              <w:rPr>
                <w:b w:val="false"/>
                <w:bCs w:val="false"/>
                <w:color w:val="374151"/>
                <w:sz w:val="22"/>
                <w:szCs w:val="22"/>
                <w:rFonts w:ascii="Calibri" w:cs="Calibri" w:eastAsia="Calibri" w:hAnsi="Calibri"/>
              </w:rPr>
              <w:t xml:space="preserve">Usar a ficha de avaliação de significância do incidente. O acesso não autorizado, por si só, é suficiente para essa qualificação mesmo sem perturbação confirmada do serviço?</w:t>
            </w:r>
          </w:p>
        </w:tc>
      </w:tr>
      <w:tr>
        <w:tc>
          <w:tcPr>
            <w:shd w:color="f3f4f6" w:val="solid"/>
            <w:vAlign w:val="center"/>
          </w:tcPr>
          <w:p>
            <w:r>
              <w:rPr>
                <w:b w:val="false"/>
                <w:bCs w:val="false"/>
                <w:color w:val="374151"/>
                <w:sz w:val="22"/>
                <w:szCs w:val="22"/>
                <w:rFonts w:ascii="Calibri" w:cs="Calibri" w:eastAsia="Calibri" w:hAnsi="Calibri"/>
              </w:rPr>
              <w:t xml:space="preserve">T+20h</w:t>
            </w:r>
          </w:p>
        </w:tc>
        <w:tc>
          <w:tcPr>
            <w:vAlign w:val="center"/>
          </w:tcPr>
          <w:p>
            <w:r>
              <w:rPr>
                <w:b w:val="false"/>
                <w:bCs w:val="false"/>
                <w:color w:val="374151"/>
                <w:sz w:val="22"/>
                <w:szCs w:val="22"/>
                <w:rFonts w:ascii="Calibri" w:cs="Calibri" w:eastAsia="Calibri" w:hAnsi="Calibri"/>
              </w:rPr>
              <w:t xml:space="preserve">Aproxima-se o limite das 24 horas para a notificação inicial ao CNCS.</w:t>
            </w:r>
          </w:p>
        </w:tc>
        <w:tc>
          <w:tcPr>
            <w:vAlign w:val="center"/>
          </w:tcPr>
          <w:p>
            <w:r>
              <w:rPr>
                <w:b w:val="false"/>
                <w:bCs w:val="false"/>
                <w:color w:val="374151"/>
                <w:sz w:val="22"/>
                <w:szCs w:val="22"/>
                <w:rFonts w:ascii="Calibri" w:cs="Calibri" w:eastAsia="Calibri" w:hAnsi="Calibri"/>
              </w:rPr>
              <w:t xml:space="preserve">A notificação inicial (Art. 42.º) está pronta? A informação sobre a categoria da causa e efeitos segue a taxonomia do CNCS/RNCSIRT?</w:t>
            </w:r>
          </w:p>
        </w:tc>
      </w:tr>
      <w:tr>
        <w:tc>
          <w:tcPr>
            <w:shd w:color="f3f4f6" w:val="solid"/>
            <w:vAlign w:val="center"/>
          </w:tcPr>
          <w:p>
            <w:r>
              <w:rPr>
                <w:b w:val="false"/>
                <w:bCs w:val="false"/>
                <w:color w:val="374151"/>
                <w:sz w:val="22"/>
                <w:szCs w:val="22"/>
                <w:rFonts w:ascii="Calibri" w:cs="Calibri" w:eastAsia="Calibri" w:hAnsi="Calibri"/>
              </w:rPr>
              <w:t xml:space="preserve">T+2 dias</w:t>
            </w:r>
          </w:p>
        </w:tc>
        <w:tc>
          <w:tcPr>
            <w:vAlign w:val="center"/>
          </w:tcPr>
          <w:p>
            <w:r>
              <w:rPr>
                <w:b w:val="false"/>
                <w:bCs w:val="false"/>
                <w:color w:val="374151"/>
                <w:sz w:val="22"/>
                <w:szCs w:val="22"/>
                <w:rFonts w:ascii="Calibri" w:cs="Calibri" w:eastAsia="Calibri" w:hAnsi="Calibri"/>
              </w:rPr>
              <w:t xml:space="preserve">Recomenda-se uma auditoria extraordinária ao fornecedor de equipamento OT envolvido.</w:t>
            </w:r>
          </w:p>
        </w:tc>
        <w:tc>
          <w:tcPr>
            <w:vAlign w:val="center"/>
          </w:tcPr>
          <w:p>
            <w:r>
              <w:rPr>
                <w:b w:val="false"/>
                <w:bCs w:val="false"/>
                <w:color w:val="374151"/>
                <w:sz w:val="22"/>
                <w:szCs w:val="22"/>
                <w:rFonts w:ascii="Calibri" w:cs="Calibri" w:eastAsia="Calibri" w:hAnsi="Calibri"/>
              </w:rPr>
              <w:t xml:space="preserve">Ligação a GR.CA-7 (avaliação de riscos de cibersegurança de fornecedores) do Anexo III. Existe direito contratual de auditoria?</w:t>
            </w:r>
          </w:p>
        </w:tc>
      </w:tr>
      <w:tr>
        <w:tc>
          <w:tcPr>
            <w:shd w:color="f3f4f6" w:val="solid"/>
            <w:vAlign w:val="center"/>
          </w:tcPr>
          <w:p>
            <w:r>
              <w:rPr>
                <w:b w:val="false"/>
                <w:bCs w:val="false"/>
                <w:color w:val="374151"/>
                <w:sz w:val="22"/>
                <w:szCs w:val="22"/>
                <w:rFonts w:ascii="Calibri" w:cs="Calibri" w:eastAsia="Calibri" w:hAnsi="Calibri"/>
              </w:rPr>
              <w:t xml:space="preserve">T+2 semanas</w:t>
            </w:r>
          </w:p>
        </w:tc>
        <w:tc>
          <w:tcPr>
            <w:vAlign w:val="center"/>
          </w:tcPr>
          <w:p>
            <w:r>
              <w:rPr>
                <w:b w:val="false"/>
                <w:bCs w:val="false"/>
                <w:color w:val="374151"/>
                <w:sz w:val="22"/>
                <w:szCs w:val="22"/>
                <w:rFonts w:ascii="Calibri" w:cs="Calibri" w:eastAsia="Calibri" w:hAnsi="Calibri"/>
              </w:rPr>
              <w:t xml:space="preserve">Confirma-se a resolução completa e a substituição do equipamento comprometido; o impacto significativo, a ter existido, termina.</w:t>
            </w:r>
          </w:p>
        </w:tc>
        <w:tc>
          <w:tcPr>
            <w:vAlign w:val="center"/>
          </w:tcPr>
          <w:p>
            <w:r>
              <w:rPr>
                <w:b w:val="false"/>
                <w:bCs w:val="false"/>
                <w:color w:val="374151"/>
                <w:sz w:val="22"/>
                <w:szCs w:val="22"/>
                <w:rFonts w:ascii="Calibri" w:cs="Calibri" w:eastAsia="Calibri" w:hAnsi="Calibri"/>
              </w:rPr>
              <w:t xml:space="preserve">Preparar a notificação de fim de impacto (Art. 43.º) e o relatório final (Art. 44.º, 30 dias úteis), incluindo as medidas de mitigação aplicadas.</w:t>
            </w:r>
          </w:p>
        </w:tc>
      </w:tr>
    </w:tbl>
    <w:p>
      <w:pPr>
        <w:pStyle w:val="Heading1"/>
        <w:spacing w:before="400" w:after="200"/>
      </w:pPr>
      <w:r>
        <w:rPr>
          <w:b/>
          <w:bCs/>
          <w:color w:val="1e3a8a"/>
          <w:sz w:val="32"/>
          <w:szCs w:val="32"/>
          <w:rFonts w:ascii="Calibri" w:cs="Calibri" w:eastAsia="Calibri" w:hAnsi="Calibri"/>
        </w:rPr>
        <w:t xml:space="preserve">5. Grelha de avaliação</w:t>
      </w:r>
    </w:p>
    <w:p>
      <w:pPr>
        <w:spacing w:after="160"/>
      </w:pPr>
      <w:r>
        <w:rPr>
          <w:color w:val="374151"/>
          <w:sz w:val="22"/>
          <w:szCs w:val="22"/>
          <w:rFonts w:ascii="Calibri" w:cs="Calibri" w:eastAsia="Calibri" w:hAnsi="Calibri"/>
        </w:rPr>
        <w:t xml:space="preserve">O observador independente preenche esta grelha durante e imediatamente após o exercício (critérios de boa prática, não exigências legais nomeadas).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2%"/>
            <w:shd w:color="1e3a8a" w:val="solid"/>
            <w:vAlign w:val="center"/>
          </w:tcPr>
          <w:p>
            <w:r>
              <w:rPr>
                <w:b/>
                <w:bCs/>
                <w:color w:val="ffffff"/>
                <w:sz w:val="22"/>
                <w:szCs w:val="22"/>
                <w:rFonts w:ascii="Calibri" w:cs="Calibri" w:eastAsia="Calibri" w:hAnsi="Calibri"/>
              </w:rPr>
              <w:t xml:space="preserve">Critério</w:t>
            </w:r>
          </w:p>
        </w:tc>
        <w:tc>
          <w:tcPr>
            <w:tcW w:type="pct" w:w="45%"/>
            <w:shd w:color="1e3a8a" w:val="solid"/>
            <w:vAlign w:val="center"/>
          </w:tcPr>
          <w:p>
            <w:r>
              <w:rPr>
                <w:b/>
                <w:bCs/>
                <w:color w:val="ffffff"/>
                <w:sz w:val="22"/>
                <w:szCs w:val="22"/>
                <w:rFonts w:ascii="Calibri" w:cs="Calibri" w:eastAsia="Calibri" w:hAnsi="Calibri"/>
              </w:rPr>
              <w:t xml:space="preserve">Pergunta de avaliação</w:t>
            </w:r>
          </w:p>
        </w:tc>
        <w:tc>
          <w:tcPr>
            <w:tcW w:type="pct" w:w="10%"/>
            <w:shd w:color="1e3a8a" w:val="solid"/>
            <w:vAlign w:val="center"/>
          </w:tcPr>
          <w:p>
            <w:r>
              <w:rPr>
                <w:b/>
                <w:bCs/>
                <w:color w:val="ffffff"/>
                <w:sz w:val="22"/>
                <w:szCs w:val="22"/>
                <w:rFonts w:ascii="Calibri" w:cs="Calibri" w:eastAsia="Calibri" w:hAnsi="Calibri"/>
              </w:rPr>
              <w:t xml:space="preserve">Nota (1-5)</w:t>
            </w:r>
          </w:p>
        </w:tc>
        <w:tc>
          <w:tcPr>
            <w:tcW w:type="pct" w:w="23%"/>
            <w:shd w:color="1e3a8a" w:val="solid"/>
            <w:vAlign w:val="center"/>
          </w:tcPr>
          <w:p>
            <w:r>
              <w:rPr>
                <w:b/>
                <w:bCs/>
                <w:color w:val="ffffff"/>
                <w:sz w:val="22"/>
                <w:szCs w:val="22"/>
                <w:rFonts w:ascii="Calibri" w:cs="Calibri" w:eastAsia="Calibri" w:hAnsi="Calibri"/>
              </w:rPr>
              <w:t xml:space="preserve">Observações</w:t>
            </w:r>
          </w:p>
        </w:tc>
      </w:tr>
      <w:tr>
        <w:tc>
          <w:tcPr>
            <w:shd w:color="f3f4f6" w:val="solid"/>
            <w:vAlign w:val="center"/>
          </w:tcPr>
          <w:p>
            <w:r>
              <w:rPr>
                <w:b w:val="false"/>
                <w:bCs w:val="false"/>
                <w:color w:val="374151"/>
                <w:sz w:val="22"/>
                <w:szCs w:val="22"/>
                <w:rFonts w:ascii="Calibri" w:cs="Calibri" w:eastAsia="Calibri" w:hAnsi="Calibri"/>
              </w:rPr>
              <w:t xml:space="preserve">Tempo até à deteção</w:t>
            </w:r>
          </w:p>
        </w:tc>
        <w:tc>
          <w:tcPr>
            <w:vAlign w:val="center"/>
          </w:tcPr>
          <w:p>
            <w:r>
              <w:rPr>
                <w:b w:val="false"/>
                <w:bCs w:val="false"/>
                <w:color w:val="374151"/>
                <w:sz w:val="22"/>
                <w:szCs w:val="22"/>
                <w:rFonts w:ascii="Calibri" w:cs="Calibri" w:eastAsia="Calibri" w:hAnsi="Calibri"/>
              </w:rPr>
              <w:t xml:space="preserve">Quanto tempo decorreu entre o início do incidente (simulado) e a sua deteção?</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Tempo até à decisão de notificar</w:t>
            </w:r>
          </w:p>
        </w:tc>
        <w:tc>
          <w:tcPr>
            <w:vAlign w:val="center"/>
          </w:tcPr>
          <w:p>
            <w:r>
              <w:rPr>
                <w:b w:val="false"/>
                <w:bCs w:val="false"/>
                <w:color w:val="374151"/>
                <w:sz w:val="22"/>
                <w:szCs w:val="22"/>
                <w:rFonts w:ascii="Calibri" w:cs="Calibri" w:eastAsia="Calibri" w:hAnsi="Calibri"/>
              </w:rPr>
              <w:t xml:space="preserve">Quanto tempo decorreu até à decisão de que se trata de um incidente significativo (ver ficha de avaliação de significância)?</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Cumprimento do relógio de notificação</w:t>
            </w:r>
          </w:p>
        </w:tc>
        <w:tc>
          <w:tcPr>
            <w:vAlign w:val="center"/>
          </w:tcPr>
          <w:p>
            <w:r>
              <w:rPr>
                <w:b w:val="false"/>
                <w:bCs w:val="false"/>
                <w:color w:val="374151"/>
                <w:sz w:val="22"/>
                <w:szCs w:val="22"/>
                <w:rFonts w:ascii="Calibri" w:cs="Calibri" w:eastAsia="Calibri" w:hAnsi="Calibri"/>
              </w:rPr>
              <w:t xml:space="preserve">A equipa identificou corretamente os prazos de 24h (alerta precoce), 72h (atualização), 24h (fim de impacto) e 30 dias úteis (relatório final) via MyCiber?</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Clareza da cadeia de decisão</w:t>
            </w:r>
          </w:p>
        </w:tc>
        <w:tc>
          <w:tcPr>
            <w:vAlign w:val="center"/>
          </w:tcPr>
          <w:p>
            <w:r>
              <w:rPr>
                <w:b w:val="false"/>
                <w:bCs w:val="false"/>
                <w:color w:val="374151"/>
                <w:sz w:val="22"/>
                <w:szCs w:val="22"/>
                <w:rFonts w:ascii="Calibri" w:cs="Calibri" w:eastAsia="Calibri" w:hAnsi="Calibri"/>
              </w:rPr>
              <w:t xml:space="preserve">Estava claro quem decide se o evento é um incidente significativo?</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Comunicação interna</w:t>
            </w:r>
          </w:p>
        </w:tc>
        <w:tc>
          <w:tcPr>
            <w:vAlign w:val="center"/>
          </w:tcPr>
          <w:p>
            <w:r>
              <w:rPr>
                <w:b w:val="false"/>
                <w:bCs w:val="false"/>
                <w:color w:val="374151"/>
                <w:sz w:val="22"/>
                <w:szCs w:val="22"/>
                <w:rFonts w:ascii="Calibri" w:cs="Calibri" w:eastAsia="Calibri" w:hAnsi="Calibri"/>
              </w:rPr>
              <w:t xml:space="preserve">A informação circulou eficazmente entre as equipas envolvidas?</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Comunicação externa</w:t>
            </w:r>
          </w:p>
        </w:tc>
        <w:tc>
          <w:tcPr>
            <w:vAlign w:val="center"/>
          </w:tcPr>
          <w:p>
            <w:r>
              <w:rPr>
                <w:b w:val="false"/>
                <w:bCs w:val="false"/>
                <w:color w:val="374151"/>
                <w:sz w:val="22"/>
                <w:szCs w:val="22"/>
                <w:rFonts w:ascii="Calibri" w:cs="Calibri" w:eastAsia="Calibri" w:hAnsi="Calibri"/>
              </w:rPr>
              <w:t xml:space="preserve">A comunicação a clientes/destinatários dos serviços e à imprensa foi apropriada e atempada?</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Envolvimento do órgão de gestão</w:t>
            </w:r>
          </w:p>
        </w:tc>
        <w:tc>
          <w:tcPr>
            <w:vAlign w:val="center"/>
          </w:tcPr>
          <w:p>
            <w:r>
              <w:rPr>
                <w:b w:val="false"/>
                <w:bCs w:val="false"/>
                <w:color w:val="374151"/>
                <w:sz w:val="22"/>
                <w:szCs w:val="22"/>
                <w:rFonts w:ascii="Calibri" w:cs="Calibri" w:eastAsia="Calibri" w:hAnsi="Calibri"/>
              </w:rPr>
              <w:t xml:space="preserve">O órgão de gestão foi envolvido de forma adequada e atempada (Art. 25.º)?</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Notificação dupla (dados pessoais)</w:t>
            </w:r>
          </w:p>
        </w:tc>
        <w:tc>
          <w:tcPr>
            <w:vAlign w:val="center"/>
          </w:tcPr>
          <w:p>
            <w:r>
              <w:rPr>
                <w:b w:val="false"/>
                <w:bCs w:val="false"/>
                <w:color w:val="374151"/>
                <w:sz w:val="22"/>
                <w:szCs w:val="22"/>
                <w:rFonts w:ascii="Calibri" w:cs="Calibri" w:eastAsia="Calibri" w:hAnsi="Calibri"/>
              </w:rPr>
              <w:t xml:space="preserve">Foi corretamente identificada a necessidade, ou não, de notificação à CNPD (RGPD, art. 33.º, 72 horas)?</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Registo documental</w:t>
            </w:r>
          </w:p>
        </w:tc>
        <w:tc>
          <w:tcPr>
            <w:vAlign w:val="center"/>
          </w:tcPr>
          <w:p>
            <w:r>
              <w:rPr>
                <w:b w:val="false"/>
                <w:bCs w:val="false"/>
                <w:color w:val="374151"/>
                <w:sz w:val="22"/>
                <w:szCs w:val="22"/>
                <w:rFonts w:ascii="Calibri" w:cs="Calibri" w:eastAsia="Calibri" w:hAnsi="Calibri"/>
              </w:rPr>
              <w:t xml:space="preserve">Foi gerado registo documental suficiente para servir de evidência dos controlos GR.PP-2/RC.PR-1 do Anexo III?</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bl>
    <w:p>
      <w:r>
        <w:br w:type="page"/>
      </w:r>
    </w:p>
    <w:p>
      <w:pPr>
        <w:pStyle w:val="Heading1"/>
        <w:spacing w:before="400" w:after="200"/>
      </w:pPr>
      <w:r>
        <w:rPr>
          <w:b/>
          <w:bCs/>
          <w:color w:val="1e3a8a"/>
          <w:sz w:val="32"/>
          <w:szCs w:val="32"/>
          <w:rFonts w:ascii="Calibri" w:cs="Calibri" w:eastAsia="Calibri" w:hAnsi="Calibri"/>
        </w:rPr>
        <w:t xml:space="preserve">6. Modelo de relatório pós-exercício</w:t>
      </w:r>
    </w:p>
    <w:p>
      <w:pPr>
        <w:spacing w:after="160"/>
      </w:pPr>
      <w:r>
        <w:rPr>
          <w:color w:val="374151"/>
          <w:sz w:val="22"/>
          <w:szCs w:val="22"/>
          <w:rFonts w:ascii="Calibri" w:cs="Calibri" w:eastAsia="Calibri" w:hAnsi="Calibri"/>
        </w:rPr>
        <w:t xml:space="preserve">O relatório deve ser entregue ao órgão de gestão e ao responsável de cibersegurança no prazo de duas semanas após o exercício, e serve de base ao plano de ação corretivo.</w:t>
      </w:r>
    </w:p>
    <w:p>
      <w:pPr>
        <w:pStyle w:val="ListParagraph"/>
        <w:numPr>
          <w:ilvl w:val="0"/>
          <w:numId w:val="1"/>
        </w:numPr>
        <w:spacing w:after="80"/>
      </w:pPr>
      <w:r>
        <w:rPr>
          <w:color w:val="374151"/>
          <w:sz w:val="22"/>
          <w:szCs w:val="22"/>
          <w:rFonts w:ascii="Calibri" w:cs="Calibri" w:eastAsia="Calibri" w:hAnsi="Calibri"/>
        </w:rPr>
        <w:t xml:space="preserve">Dados do exercício: data, duração, participantes, cenário testado, facilitador.</w:t>
      </w:r>
    </w:p>
    <w:p>
      <w:pPr>
        <w:pStyle w:val="ListParagraph"/>
        <w:numPr>
          <w:ilvl w:val="0"/>
          <w:numId w:val="1"/>
        </w:numPr>
        <w:spacing w:after="80"/>
      </w:pPr>
      <w:r>
        <w:rPr>
          <w:color w:val="374151"/>
          <w:sz w:val="22"/>
          <w:szCs w:val="22"/>
          <w:rFonts w:ascii="Calibri" w:cs="Calibri" w:eastAsia="Calibri" w:hAnsi="Calibri"/>
        </w:rPr>
        <w:t xml:space="preserve">Sumário executivo para o órgão de gestão (máximo uma página).</w:t>
      </w:r>
    </w:p>
    <w:p>
      <w:pPr>
        <w:pStyle w:val="ListParagraph"/>
        <w:numPr>
          <w:ilvl w:val="0"/>
          <w:numId w:val="1"/>
        </w:numPr>
        <w:spacing w:after="80"/>
      </w:pPr>
      <w:r>
        <w:rPr>
          <w:color w:val="374151"/>
          <w:sz w:val="22"/>
          <w:szCs w:val="22"/>
          <w:rFonts w:ascii="Calibri" w:cs="Calibri" w:eastAsia="Calibri" w:hAnsi="Calibri"/>
        </w:rPr>
        <w:t xml:space="preserve">Observações por área: comunicação interna, comunicação externa, técnica, legal/conformidade, envolvimento da gestão.</w:t>
      </w:r>
    </w:p>
    <w:p>
      <w:pPr>
        <w:pStyle w:val="ListParagraph"/>
        <w:numPr>
          <w:ilvl w:val="0"/>
          <w:numId w:val="1"/>
        </w:numPr>
        <w:spacing w:after="80"/>
      </w:pPr>
      <w:r>
        <w:rPr>
          <w:color w:val="374151"/>
          <w:sz w:val="22"/>
          <w:szCs w:val="22"/>
          <w:rFonts w:ascii="Calibri" w:cs="Calibri" w:eastAsia="Calibri" w:hAnsi="Calibri"/>
        </w:rPr>
        <w:t xml:space="preserve">Achados positivos: o que funcionou bem e deve ser mantido.</w:t>
      </w:r>
    </w:p>
    <w:p>
      <w:pPr>
        <w:pStyle w:val="ListParagraph"/>
        <w:numPr>
          <w:ilvl w:val="0"/>
          <w:numId w:val="1"/>
        </w:numPr>
        <w:spacing w:after="80"/>
      </w:pPr>
      <w:r>
        <w:rPr>
          <w:color w:val="374151"/>
          <w:sz w:val="22"/>
          <w:szCs w:val="22"/>
          <w:rFonts w:ascii="Calibri" w:cs="Calibri" w:eastAsia="Calibri" w:hAnsi="Calibri"/>
        </w:rPr>
        <w:t xml:space="preserve">Lacunas identificadas: o que falhou ou está em falta, com grau de criticidade.</w:t>
      </w:r>
    </w:p>
    <w:p>
      <w:pPr>
        <w:pStyle w:val="ListParagraph"/>
        <w:numPr>
          <w:ilvl w:val="0"/>
          <w:numId w:val="1"/>
        </w:numPr>
        <w:spacing w:after="80"/>
      </w:pPr>
      <w:r>
        <w:rPr>
          <w:color w:val="374151"/>
          <w:sz w:val="22"/>
          <w:szCs w:val="22"/>
          <w:rFonts w:ascii="Calibri" w:cs="Calibri" w:eastAsia="Calibri" w:hAnsi="Calibri"/>
        </w:rPr>
        <w:t xml:space="preserve">Plano de ação: para cada lacuna, ação corretiva, responsável, prazo e critério de conclusão (ver tabela seguinte).</w:t>
      </w:r>
    </w:p>
    <w:p>
      <w:pPr>
        <w:pStyle w:val="ListParagraph"/>
        <w:numPr>
          <w:ilvl w:val="0"/>
          <w:numId w:val="1"/>
        </w:numPr>
        <w:spacing w:after="80"/>
      </w:pPr>
      <w:r>
        <w:rPr>
          <w:color w:val="374151"/>
          <w:sz w:val="22"/>
          <w:szCs w:val="22"/>
          <w:rFonts w:ascii="Calibri" w:cs="Calibri" w:eastAsia="Calibri" w:hAnsi="Calibri"/>
        </w:rPr>
        <w:t xml:space="preserve">Data recomendada do próximo exercício (mínimo anual, conforme boa prática — não é um prazo legal nomeado).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Lacuna identificada</w:t>
            </w:r>
          </w:p>
        </w:tc>
        <w:tc>
          <w:tcPr>
            <w:tcW w:type="pct" w:w="35%"/>
            <w:shd w:color="1e3a8a" w:val="solid"/>
            <w:vAlign w:val="center"/>
          </w:tcPr>
          <w:p>
            <w:r>
              <w:rPr>
                <w:b/>
                <w:bCs/>
                <w:color w:val="ffffff"/>
                <w:sz w:val="22"/>
                <w:szCs w:val="22"/>
                <w:rFonts w:ascii="Calibri" w:cs="Calibri" w:eastAsia="Calibri" w:hAnsi="Calibri"/>
              </w:rPr>
              <w:t xml:space="preserve">Ação corretiva</w:t>
            </w:r>
          </w:p>
        </w:tc>
        <w:tc>
          <w:tcPr>
            <w:tcW w:type="pct" w:w="15%"/>
            <w:shd w:color="1e3a8a" w:val="solid"/>
            <w:vAlign w:val="center"/>
          </w:tcPr>
          <w:p>
            <w:r>
              <w:rPr>
                <w:b/>
                <w:bCs/>
                <w:color w:val="ffffff"/>
                <w:sz w:val="22"/>
                <w:szCs w:val="22"/>
                <w:rFonts w:ascii="Calibri" w:cs="Calibri" w:eastAsia="Calibri" w:hAnsi="Calibri"/>
              </w:rPr>
              <w:t xml:space="preserve">Responsável</w:t>
            </w:r>
          </w:p>
        </w:tc>
        <w:tc>
          <w:tcPr>
            <w:tcW w:type="pct" w:w="20%"/>
            <w:shd w:color="1e3a8a" w:val="solid"/>
            <w:vAlign w:val="center"/>
          </w:tcPr>
          <w:p>
            <w:r>
              <w:rPr>
                <w:b/>
                <w:bCs/>
                <w:color w:val="ffffff"/>
                <w:sz w:val="22"/>
                <w:szCs w:val="22"/>
                <w:rFonts w:ascii="Calibri" w:cs="Calibri" w:eastAsia="Calibri" w:hAnsi="Calibri"/>
              </w:rPr>
              <w:t xml:space="preserve">Prazo</w:t>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bl>
    <w:p>
      <w:pPr>
        <w:spacing w:after="160"/>
      </w:pPr>
      <w:r>
        <w:rPr>
          <w:color w:val="374151"/>
          <w:sz w:val="22"/>
          <w:szCs w:val="22"/>
          <w:rFonts w:ascii="Calibri" w:cs="Calibri" w:eastAsia="Calibri" w:hAnsi="Calibri"/>
        </w:rPr>
        <w:t xml:space="preserve">A realização e os resultados deste exercício devem ser documentados no registo de conformidade da organização, como evidência dos controlos GR.PP-2, GR.CA-8 (se envolveu fornecedores) e ID.MC-3 (melhorias identificadas a partir de avaliações pós-incidente) do Anexo III do Regulamento 756/2026.</w:t>
      </w:r>
    </w:p>
    <w:p>
      <w:pPr>
        <w:pStyle w:val="Heading1"/>
        <w:spacing w:before="400" w:after="200"/>
      </w:pPr>
      <w:r>
        <w:rPr>
          <w:b/>
          <w:bCs/>
          <w:color w:val="1e3a8a"/>
          <w:sz w:val="32"/>
          <w:szCs w:val="32"/>
          <w:rFonts w:ascii="Calibri" w:cs="Calibri" w:eastAsia="Calibri" w:hAnsi="Calibri"/>
        </w:rPr>
        <w:t xml:space="preserve">7. Notas do facilitador</w:t>
      </w:r>
    </w:p>
    <w:p>
      <w:pPr>
        <w:pStyle w:val="ListParagraph"/>
        <w:numPr>
          <w:ilvl w:val="0"/>
          <w:numId w:val="1"/>
        </w:numPr>
        <w:spacing w:after="80"/>
      </w:pPr>
      <w:r>
        <w:rPr>
          <w:color w:val="374151"/>
          <w:sz w:val="22"/>
          <w:szCs w:val="22"/>
          <w:rFonts w:ascii="Calibri" w:cs="Calibri" w:eastAsia="Calibri" w:hAnsi="Calibri"/>
        </w:rPr>
        <w:t xml:space="preserve">Enfatizar a tensão entre segurança (isolar sistemas) e continuidade do fornecimento — típica de ambientes OT.</w:t>
      </w:r>
    </w:p>
    <w:p>
      <w:pPr>
        <w:pStyle w:val="ListParagraph"/>
        <w:numPr>
          <w:ilvl w:val="0"/>
          <w:numId w:val="1"/>
        </w:numPr>
        <w:spacing w:after="80"/>
      </w:pPr>
      <w:r>
        <w:rPr>
          <w:color w:val="374151"/>
          <w:sz w:val="22"/>
          <w:szCs w:val="22"/>
          <w:rFonts w:ascii="Calibri" w:cs="Calibri" w:eastAsia="Calibri" w:hAnsi="Calibri"/>
        </w:rPr>
        <w:t xml:space="preserve">Se o exercício envolver um fornecedor de equipamento OT, usar este cenário também para testar a adenda contratual de fornecedores TIC geridos, mesmo que o fornecedor de OT não seja tecnicamente um "prestador de serviços TIC geridos" — os princípios de notificação em cascata aplicam-se por analogia.</w:t>
      </w:r>
    </w:p>
    <w:p>
      <w:pPr>
        <w:pStyle w:val="ListParagraph"/>
        <w:numPr>
          <w:ilvl w:val="0"/>
          <w:numId w:val="1"/>
        </w:numPr>
        <w:spacing w:after="80"/>
      </w:pPr>
      <w:r>
        <w:rPr>
          <w:color w:val="374151"/>
          <w:sz w:val="22"/>
          <w:szCs w:val="22"/>
          <w:rFonts w:ascii="Calibri" w:cs="Calibri" w:eastAsia="Calibri" w:hAnsi="Calibri"/>
        </w:rPr>
        <w:t xml:space="preserve">Não inventar dados de incidentes reais em infraestrutura energética portuguesa; usar apenas a referência genérica a relatórios públicos internacionais sobre ameaças persistentes a infraestruturas críticas de energia.</w:t>
      </w:r>
    </w:p>
    <w:p>
      <w:r>
        <w:br w:type="page"/>
      </w:r>
    </w:p>
    <w:p>
      <w:pPr>
        <w:pStyle w:val="Heading1"/>
        <w:spacing w:before="400" w:after="200"/>
      </w:pPr>
      <w:r>
        <w:rPr>
          <w:b/>
          <w:bCs/>
          <w:color w:val="1e3a8a"/>
          <w:sz w:val="32"/>
          <w:szCs w:val="32"/>
          <w:rFonts w:ascii="Calibri" w:cs="Calibri" w:eastAsia="Calibri" w:hAnsi="Calibri"/>
        </w:rPr>
        <w:t xml:space="preserve">Anexo — Checklist de preparação e condução</w:t>
      </w:r>
    </w:p>
    <w:p>
      <w:pPr>
        <w:pStyle w:val="ListParagraph"/>
        <w:numPr>
          <w:ilvl w:val="0"/>
          <w:numId w:val="1"/>
        </w:numPr>
        <w:spacing w:after="80"/>
      </w:pPr>
      <w:r>
        <w:rPr>
          <w:color w:val="374151"/>
          <w:sz w:val="22"/>
          <w:szCs w:val="22"/>
          <w:rFonts w:ascii="Calibri" w:cs="Calibri" w:eastAsia="Calibri" w:hAnsi="Calibri"/>
        </w:rPr>
        <w:t xml:space="preserve">Defini os objetivos e adaptei o cenário base à realidade da organização.</w:t>
      </w:r>
    </w:p>
    <w:p>
      <w:pPr>
        <w:pStyle w:val="ListParagraph"/>
        <w:numPr>
          <w:ilvl w:val="0"/>
          <w:numId w:val="1"/>
        </w:numPr>
        <w:spacing w:after="80"/>
      </w:pPr>
      <w:r>
        <w:rPr>
          <w:color w:val="374151"/>
          <w:sz w:val="22"/>
          <w:szCs w:val="22"/>
          <w:rFonts w:ascii="Calibri" w:cs="Calibri" w:eastAsia="Calibri" w:hAnsi="Calibri"/>
        </w:rPr>
        <w:t xml:space="preserve">Confirmei o facilitador e o observador independente.</w:t>
      </w:r>
    </w:p>
    <w:p>
      <w:pPr>
        <w:pStyle w:val="ListParagraph"/>
        <w:numPr>
          <w:ilvl w:val="0"/>
          <w:numId w:val="1"/>
        </w:numPr>
        <w:spacing w:after="80"/>
      </w:pPr>
      <w:r>
        <w:rPr>
          <w:color w:val="374151"/>
          <w:sz w:val="22"/>
          <w:szCs w:val="22"/>
          <w:rFonts w:ascii="Calibri" w:cs="Calibri" w:eastAsia="Calibri" w:hAnsi="Calibri"/>
        </w:rPr>
        <w:t xml:space="preserve">Convidei e confirmei a presença de todos os participantes da tabela de papéis, incluindo o órgão de gestão.</w:t>
      </w:r>
    </w:p>
    <w:p>
      <w:pPr>
        <w:pStyle w:val="ListParagraph"/>
        <w:numPr>
          <w:ilvl w:val="0"/>
          <w:numId w:val="1"/>
        </w:numPr>
        <w:spacing w:after="80"/>
      </w:pPr>
      <w:r>
        <w:rPr>
          <w:color w:val="374151"/>
          <w:sz w:val="22"/>
          <w:szCs w:val="22"/>
          <w:rFonts w:ascii="Calibri" w:cs="Calibri" w:eastAsia="Calibri" w:hAnsi="Calibri"/>
        </w:rPr>
        <w:t xml:space="preserve">Preparei materiais de apoio: este guião, a ficha de avaliação de significância do incidente, os planos de resposta a incidentes e de continuidade de negócio.</w:t>
      </w:r>
    </w:p>
    <w:p>
      <w:pPr>
        <w:pStyle w:val="ListParagraph"/>
        <w:numPr>
          <w:ilvl w:val="0"/>
          <w:numId w:val="1"/>
        </w:numPr>
        <w:spacing w:after="80"/>
      </w:pPr>
      <w:r>
        <w:rPr>
          <w:color w:val="374151"/>
          <w:sz w:val="22"/>
          <w:szCs w:val="22"/>
          <w:rFonts w:ascii="Calibri" w:cs="Calibri" w:eastAsia="Calibri" w:hAnsi="Calibri"/>
        </w:rPr>
        <w:t xml:space="preserve">Realizei um briefing pré-exercício com o facilitador e o observador.</w:t>
      </w:r>
    </w:p>
    <w:p>
      <w:pPr>
        <w:pStyle w:val="ListParagraph"/>
        <w:numPr>
          <w:ilvl w:val="0"/>
          <w:numId w:val="1"/>
        </w:numPr>
        <w:spacing w:after="80"/>
      </w:pPr>
      <w:r>
        <w:rPr>
          <w:color w:val="374151"/>
          <w:sz w:val="22"/>
          <w:szCs w:val="22"/>
          <w:rFonts w:ascii="Calibri" w:cs="Calibri" w:eastAsia="Calibri" w:hAnsi="Calibri"/>
        </w:rPr>
        <w:t xml:space="preserve">Conduzi o exercício seguindo a sequência de injects, documentando decisões e discussões.</w:t>
      </w:r>
    </w:p>
    <w:p>
      <w:pPr>
        <w:pStyle w:val="ListParagraph"/>
        <w:numPr>
          <w:ilvl w:val="0"/>
          <w:numId w:val="1"/>
        </w:numPr>
        <w:spacing w:after="80"/>
      </w:pPr>
      <w:r>
        <w:rPr>
          <w:color w:val="374151"/>
          <w:sz w:val="22"/>
          <w:szCs w:val="22"/>
          <w:rFonts w:ascii="Calibri" w:cs="Calibri" w:eastAsia="Calibri" w:hAnsi="Calibri"/>
        </w:rPr>
        <w:t xml:space="preserve">Realizei um "hot wash" (debrief a quente) imediatamente após o exercício.</w:t>
      </w:r>
    </w:p>
    <w:p>
      <w:pPr>
        <w:pStyle w:val="ListParagraph"/>
        <w:numPr>
          <w:ilvl w:val="0"/>
          <w:numId w:val="1"/>
        </w:numPr>
        <w:spacing w:after="80"/>
      </w:pPr>
      <w:r>
        <w:rPr>
          <w:color w:val="374151"/>
          <w:sz w:val="22"/>
          <w:szCs w:val="22"/>
          <w:rFonts w:ascii="Calibri" w:cs="Calibri" w:eastAsia="Calibri" w:hAnsi="Calibri"/>
        </w:rPr>
        <w:t xml:space="preserve">Redigi e entreguei o relatório pós-exercício no prazo de duas semanas.</w:t>
      </w:r>
    </w:p>
    <w:p>
      <w:pPr>
        <w:pStyle w:val="ListParagraph"/>
        <w:numPr>
          <w:ilvl w:val="0"/>
          <w:numId w:val="1"/>
        </w:numPr>
        <w:spacing w:after="80"/>
      </w:pPr>
      <w:r>
        <w:rPr>
          <w:color w:val="374151"/>
          <w:sz w:val="22"/>
          <w:szCs w:val="22"/>
          <w:rFonts w:ascii="Calibri" w:cs="Calibri" w:eastAsia="Calibri" w:hAnsi="Calibri"/>
        </w:rPr>
        <w:t xml:space="preserve">Apresentei os resultados ao órgão de gestão.</w:t>
      </w:r>
    </w:p>
    <w:p>
      <w:pPr>
        <w:pStyle w:val="ListParagraph"/>
        <w:numPr>
          <w:ilvl w:val="0"/>
          <w:numId w:val="1"/>
        </w:numPr>
        <w:spacing w:after="80"/>
      </w:pPr>
      <w:r>
        <w:rPr>
          <w:color w:val="374151"/>
          <w:sz w:val="22"/>
          <w:szCs w:val="22"/>
          <w:rFonts w:ascii="Calibri" w:cs="Calibri" w:eastAsia="Calibri" w:hAnsi="Calibri"/>
        </w:rPr>
        <w:t xml:space="preserve">Integrei as ações corretivas no plano de ação da organização e atualizei o plano de resposta a incidentes.</w:t>
      </w:r>
    </w:p>
    <w:p>
      <w:pPr>
        <w:pStyle w:val="ListParagraph"/>
        <w:numPr>
          <w:ilvl w:val="0"/>
          <w:numId w:val="1"/>
        </w:numPr>
        <w:spacing w:after="80"/>
      </w:pPr>
      <w:r>
        <w:rPr>
          <w:color w:val="374151"/>
          <w:sz w:val="22"/>
          <w:szCs w:val="22"/>
          <w:rFonts w:ascii="Calibri" w:cs="Calibri" w:eastAsia="Calibri" w:hAnsi="Calibri"/>
        </w:rPr>
        <w:t xml:space="preserve">Arquivei o relatório e as evidências para fins de conformidade NIS2.</w:t>
      </w:r>
    </w:p>
    <w:p>
      <w:pPr>
        <w:pStyle w:val="ListParagraph"/>
        <w:numPr>
          <w:ilvl w:val="0"/>
          <w:numId w:val="1"/>
        </w:numPr>
        <w:spacing w:after="80"/>
      </w:pPr>
      <w:r>
        <w:rPr>
          <w:color w:val="374151"/>
          <w:sz w:val="22"/>
          <w:szCs w:val="22"/>
          <w:rFonts w:ascii="Calibri" w:cs="Calibri" w:eastAsia="Calibri" w:hAnsi="Calibri"/>
        </w:rPr>
        <w:t xml:space="preserve">Agendei o próximo exercício.</w:t>
      </w:r>
    </w:p>
    <w:p>
      <w:pPr>
        <w:pStyle w:val="Heading1"/>
        <w:spacing w:before="400" w:after="200"/>
      </w:pPr>
      <w:r>
        <w:rPr>
          <w:b/>
          <w:bCs/>
          <w:color w:val="1e3a8a"/>
          <w:sz w:val="32"/>
          <w:szCs w:val="32"/>
          <w:rFonts w:ascii="Calibri" w:cs="Calibri" w:eastAsia="Calibri" w:hAnsi="Calibri"/>
        </w:rPr>
        <w:t xml:space="preserve">Nota</w:t>
      </w:r>
    </w:p>
    <w:p>
      <w:pPr>
        <w:spacing w:after="160"/>
      </w:pPr>
      <w:r>
        <w:rPr>
          <w:color w:val="374151"/>
          <w:sz w:val="22"/>
          <w:szCs w:val="22"/>
          <w:rFonts w:ascii="Calibri" w:cs="Calibri" w:eastAsia="Calibri" w:hAnsi="Calibri"/>
        </w:rPr>
        <w:t xml:space="preserve">Este modelo não substitui aconselhamento jurídico. Os cenários e injects devem ser adaptados à realidade concreta da organização; os factos e referências setoriais citados na introdução legal baseiam-se em fontes públicas verificadas, não em estatísticas específicas inventadas.</w:t>
      </w:r>
    </w:p>
    <w:p>
      <w:pPr>
        <w:pStyle w:val="Heading1"/>
      </w:pPr>
      <w:r>
        <w:rPr>
          <w:b/>
          <w:color w:val="1E3A8A"/>
          <w:sz w:val="28"/>
        </w:rPr>
        <w:t>8. Aprovação do documento</w:t>
      </w:r>
    </w:p>
    <w:tbl>
      <w:tblPr>
        <w:tblW w:type="auto" w:w="0"/>
        <w:tblLook w:firstColumn="1" w:firstRow="1" w:lastColumn="0" w:lastRow="0" w:noHBand="0" w:noVBand="1" w:val="04A0"/>
      </w:tblPr>
      <w:tblGrid>
        <w:gridCol w:w="2256"/>
        <w:gridCol w:w="2256"/>
        <w:gridCol w:w="2256"/>
        <w:gridCol w:w="2256"/>
      </w:tblGrid>
      <w:tr>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Papel</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Nome</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Cargo</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Data e assinatura</w:t>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Elaborado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[DPO/CISO]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Revisto por</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Aprovado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Conselho de Administração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Comunicado a</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Todos os colaboradores</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bl>
    <w:p>
      <w:r>
        <w:rPr>
          <w:i/>
          <w:color w:val="374151"/>
          <w:sz w:val="20"/>
        </w:rPr>
        <w:t>Este documento é controlado pelo sistema de gestão documental da organização. Alterações requerem aprovação formal conforme tabela acima. A próxima revisão deve ocorrer até 15/09/2027.</w:t>
      </w:r>
    </w:p>
    <w:p>
      <w:pPr>
        <w:pStyle w:val="Heading1"/>
      </w:pPr>
      <w:r>
        <w:rPr>
          <w:b/>
          <w:color w:val="1E3A8A"/>
          <w:sz w:val="28"/>
        </w:rPr>
        <w:t>9. Glossário</w:t>
      </w:r>
    </w:p>
    <w:p>
      <w:r>
        <w:rPr>
          <w:color w:val="374151"/>
          <w:sz w:val="22"/>
        </w:rPr>
        <w:t>Para facilitar a leitura, apresentam-se os termos técnicos e legais usados ao longo deste documento.</w:t>
      </w:r>
    </w:p>
    <w:tbl>
      <w:tblPr>
        <w:tblW w:type="auto" w:w="0"/>
        <w:tblLook w:firstColumn="1" w:firstRow="1" w:lastColumn="0" w:lastRow="0" w:noHBand="0" w:noVBand="1" w:val="04A0"/>
      </w:tblPr>
      <w:tblGrid>
        <w:gridCol w:w="4513"/>
        <w:gridCol w:w="4513"/>
      </w:tblGrid>
      <w:tr>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Termo</w:t>
            </w:r>
          </w:p>
        </w:tc>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Definição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NIS2</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Diretiva (UE) 2022/2555 relativa a medidas destinadas a garantir um elevado nível comum de cibersegurança em toda a União (substitui a NIS de 2016)</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DL 125/2025</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Decreto-Lei n.º 125/2025, de 4 de dezembro, que transpõe para Portugal a Diretiva NIS2</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CNCS</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Centro Nacional de Cibersegurança, autoridade competente NIS2 em Portugal (Art. 15.º DL 125/2025)</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CERT.PT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Equipa de resposta a incidentes de segurança informática nacional integrada no CNCS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OE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Entidade Essencial (Art. 6.º DL 125/2025) — entidade sujeita a maiores obrigações e supervisão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OI</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Entidade Importante (Art. 6.º DL 125/2025) — regime proporcional com supervisão ex-post</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SGSI</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Sistema de Gestão de Segurança da Informação (ISO/IEC 27001)</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CSIRT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Computer Security Incident Response Team — equipa de resposta a incidentes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SOC</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Security Operations Centre — centro de operações de segurança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SIEM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Security Information and Event Management — correlação e análise de logs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EDR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Endpoint Detection and Response — deteção e resposta em endpoints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XDR</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Extended Detection and Response — deteção estendida (endpoints + rede + cloud)</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IAM</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Identity and Access Management — gestão de identidades e acessos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PAM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Privileged Access Management — gestão de acessos privilegiados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MFA</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Multi-Factor Authentication — autenticação multifator</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SSO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Single Sign-On — autenticação única</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DLP</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Data Loss Prevention — prevenção de fuga de dados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DPIA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Data Protection Impact Assessment (RGPD Art. 35.º) — avaliação de impacto sobre proteção de dados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AIPD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Avaliação de Impacto sobre a Proteção de Dados (equivalente PT-PT do DPIA)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RTO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Recovery Time Objective — tempo máximo de recuperação aceitável</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RPO</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Recovery Point Objective — perda máxima de dados aceitável</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MTTD</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Mean Time To Detect — tempo médio de deteção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MTTR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Mean Time To Respond/Recover — tempo médio de resposta ou recuperação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IoC</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Indicator of Compromise — indicador de compromisso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TLPT</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Threat-Led Penetration Testing — teste de penetração baseado em ameaças (DORA Art. 26.º)</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TTP</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Tactics, Techniques and Procedures — táticas, técnicas e procedimentos (MITRE ATT&amp;CK)</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CVE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Vulnerabilities and Exposures — base de dados pública de vulnerabilidades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CVSS</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Vulnerability Scoring System — sistema de pontuação de vulnerabilidades (0-10)</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RGPD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Regulamento Geral sobre a Proteção de Dados (UE 2016/679)</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DORA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Digital Operational Resilience Act — Regulamento (UE) 2022/2554 para o setor financeiro</w:t>
            </w:r>
          </w:p>
        </w:tc>
      </w:tr>
    </w:tbl>
    <w:p>
      <w:pPr>
        <w:pStyle w:val="Heading1"/>
      </w:pPr>
      <w:r>
        <w:rPr>
          <w:b/>
          <w:color w:val="1E3A8A"/>
          <w:sz w:val="28"/>
        </w:rPr>
        <w:t>10. Referências a outros templates NIS2</w:t>
      </w:r>
    </w:p>
    <w:p>
      <w:r>
        <w:rPr>
          <w:color w:val="374151"/>
          <w:sz w:val="22"/>
        </w:rPr>
        <w:t>Este template integra-se com o seguinte conjunto de políticas e procedimentos NIS2 disponibilizados em nis2-portugal.com/pages/templates.html:</w:t>
      </w:r>
    </w:p>
    <w:p>
      <w:r>
        <w:rPr>
          <w:color w:val="374151"/>
          <w:sz w:val="22"/>
        </w:rPr>
        <w:t xml:space="preserve">• </w:t>
      </w:r>
      <w:r>
        <w:rPr>
          <w:color w:val="374151"/>
          <w:sz w:val="22"/>
        </w:rPr>
        <w:t>Política de segurança da informação — documento de cúpula</w:t>
      </w:r>
    </w:p>
    <w:p>
      <w:r>
        <w:rPr>
          <w:color w:val="374151"/>
          <w:sz w:val="22"/>
        </w:rPr>
        <w:t xml:space="preserve">• </w:t>
      </w:r>
      <w:r>
        <w:rPr>
          <w:color w:val="374151"/>
          <w:sz w:val="22"/>
        </w:rPr>
        <w:t>Plano de resposta a incidentes — procedimento operacional</w:t>
      </w:r>
    </w:p>
    <w:p>
      <w:r>
        <w:rPr>
          <w:color w:val="374151"/>
          <w:sz w:val="22"/>
        </w:rPr>
        <w:t xml:space="preserve">• </w:t>
      </w:r>
      <w:r>
        <w:rPr>
          <w:color w:val="374151"/>
          <w:sz w:val="22"/>
        </w:rPr>
        <w:t>Matriz de riscos NIS2 — avaliação de riscos Art. 21.º</w:t>
      </w:r>
    </w:p>
    <w:p>
      <w:r>
        <w:rPr>
          <w:color w:val="374151"/>
          <w:sz w:val="22"/>
        </w:rPr>
        <w:t xml:space="preserve">• </w:t>
      </w:r>
      <w:r>
        <w:rPr>
          <w:color w:val="374151"/>
          <w:sz w:val="22"/>
        </w:rPr>
        <w:t>Plano de continuidade de negócio — BIA + DRP</w:t>
      </w:r>
    </w:p>
    <w:p>
      <w:r>
        <w:rPr>
          <w:color w:val="374151"/>
          <w:sz w:val="22"/>
        </w:rPr>
        <w:t xml:space="preserve">• </w:t>
      </w:r>
      <w:r>
        <w:rPr>
          <w:color w:val="374151"/>
          <w:sz w:val="22"/>
        </w:rPr>
        <w:t>Política de controlo de acessos — gestão IAM/PAM</w:t>
      </w:r>
    </w:p>
    <w:p>
      <w:r>
        <w:rPr>
          <w:color w:val="374151"/>
          <w:sz w:val="22"/>
        </w:rPr>
        <w:t xml:space="preserve">• </w:t>
      </w:r>
      <w:r>
        <w:rPr>
          <w:color w:val="374151"/>
          <w:sz w:val="22"/>
        </w:rPr>
        <w:t>Checklist de conformidade Art. 21.º — autoavaliação</w:t>
      </w:r>
    </w:p>
    <w:p>
      <w:r>
        <w:rPr>
          <w:color w:val="374151"/>
          <w:sz w:val="22"/>
        </w:rPr>
        <w:t xml:space="preserve">• </w:t>
      </w:r>
      <w:r>
        <w:rPr>
          <w:color w:val="374151"/>
          <w:sz w:val="22"/>
        </w:rPr>
        <w:t>Questionário de due diligence de fornecedores — cadeia de abastecimento</w:t>
      </w:r>
    </w:p>
    <w:p>
      <w:r>
        <w:rPr>
          <w:color w:val="374151"/>
          <w:sz w:val="22"/>
        </w:rPr>
        <w:t xml:space="preserve">• </w:t>
      </w:r>
      <w:r>
        <w:rPr>
          <w:color w:val="374151"/>
          <w:sz w:val="22"/>
        </w:rPr>
        <w:t>Programa de formação e sensibilização — Art. 20.º DL 125/2025</w:t>
      </w:r>
    </w:p>
    <w:p>
      <w:r>
        <w:rPr>
          <w:i/>
          <w:color w:val="374151"/>
          <w:sz w:val="20"/>
        </w:rPr>
        <w:t>Todos os templates referidos estão disponíveis para download gratuito em https://nis2-portugal.com/pages/templates.html. A utilização conjunta garante cobertura completa dos requisitos do Art. 21.º do DL 125/2025.</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8a" w:sz="6" w:space="1"/>
      </w:pBdr>
      <w:jc w:val="center"/>
    </w:pPr>
    <w:r>
      <w:rPr>
        <w:color w:val="9ca3af"/>
        <w:sz w:val="18"/>
        <w:szCs w:val="18"/>
        <w:rFonts w:ascii="Calibri" w:cs="Calibri" w:eastAsia="Calibri" w:hAnsi="Calibri"/>
      </w:rPr>
      <w:t xml:space="preserve">Confidencial  |  Página </w:t>
    </w:r>
    <w:r>
      <w:rPr>
        <w:color w:val="9ca3af"/>
        <w:sz w:val="18"/>
        <w:szCs w:val="18"/>
        <w:rFonts w:ascii="Calibri" w:cs="Calibri" w:eastAsia="Calibri" w:hAnsi="Calibri"/>
      </w:rPr>
      <w:fldChar w:fldCharType="begin"/>
      <w:instrText xml:space="preserve">PAGE</w:instrText>
      <w:fldChar w:fldCharType="separate"/>
      <w:fldChar w:fldCharType="end"/>
    </w:r>
    <w:r>
      <w:rPr>
        <w:color w:val="9ca3af"/>
        <w:sz w:val="18"/>
        <w:szCs w:val="18"/>
        <w:rFonts w:ascii="Calibri" w:cs="Calibri" w:eastAsia="Calibri" w:hAnsi="Calibri"/>
      </w:rPr>
      <w:t xml:space="preserve"> de </w:t>
    </w:r>
    <w:r>
      <w:rPr>
        <w:color w:val="9ca3af"/>
        <w:sz w:val="18"/>
        <w:szCs w:val="18"/>
        <w:rFonts w:ascii="Calibri" w:cs="Calibri" w:eastAsia="Calibri" w:hAnsi="Calibri"/>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3a8a" w:sz="6" w:space="1"/>
      </w:pBdr>
      <w:jc w:val="right"/>
    </w:pPr>
    <w:r>
      <w:rPr>
        <w:color w:val="9ca3af"/>
        <w:sz w:val="18"/>
        <w:szCs w:val="18"/>
        <w:rFonts w:ascii="Calibri" w:cs="Calibri" w:eastAsia="Calibri" w:hAnsi="Calibri"/>
      </w:rPr>
      <w:t xml:space="preserve">Exercício de mesa NIS2 — Setor Energia — Art. 27.º n.º 1 — DL 125/2025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NIS2 Portugal — nis2-portugal.com</dc:creator>
  <cp:lastModifiedBy>NIS2 Portugal</cp:lastModifiedBy>
  <cp:revision>1</cp:revision>
  <dcterms:created xsi:type="dcterms:W3CDTF">2026-09-15T13:41:34.144Z</dcterms:created>
  <dcterms:modified xsi:type="dcterms:W3CDTF">2026-09-15T13:41:34.144Z</dcterms:modified>
  <dc:title>Exercicio mesa energia</dc:title>
  <dc:subject>Template NIS2 — conformidade DL 125/2025</dc:subject>
  <cp:keywords>NIS2, DL 125/2025, cibersegurança, conformidade, Portugal</cp:keywords>
  <cp:category>Template NIS2</cp:category>
  <dc:description>Template profissional gratuito disponibilizado em nis2-portugal.com</dc:description>
</cp:coreProperties>
</file>

<file path=docProps/custom.xml><?xml version="1.0" encoding="utf-8"?>
<Properties xmlns="http://schemas.openxmlformats.org/officeDocument/2006/custom-properties" xmlns:vt="http://schemas.openxmlformats.org/officeDocument/2006/docPropsVTypes"/>
</file>