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Ficha de avaliação de significância do incidente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Apoio à decisão interna — Art. 2.º l), Art. 40.º n.º 3 e Art. 41.º do DL 125/2025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14/09/2026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Esta ficha apoia a decisão interna sobre se um evento de cibersegurança constitui "incidente significativo" para efeitos do DL 125/2025, determinando se e quando começa a contar o prazo de 24 horas para a notificação inicial. A lei não atribui esta decisão a um órgão específico — cabe à entidade formalizar um procedimento interno, tipicamente sob responsabilidade do responsável de cibersegurança (Art. 31.º) e do ponto de contacto permanente (Art. 32.º), sob supervisão do órgão de gestão.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a ficha assim que se detete um evento com potencial impacto significativo.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data/hora da conclusão da avaliação (não a data/hora do início do incidente) é o momento em que começa a contar o prazo de 24 horas do Art. 42.º.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a entidade for abrangida pelo Regulamento de Execução (UE) 2024/2690 (infraestrutura digital), verificar também os limiares numéricos da tabela da Secção 4.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a conclusão for "não significativo", considerar a notificação voluntária (Art. 21.º do Regulamento 756/2026).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Arquivar esta ficha como evidência da decisão, para efeitos de auditoria e de eventual fiscalização pela autoridade de cibersegurança competente.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Enquadramento legal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2.º alínea l) do DL 125/2025 — definição de "incidente significativo": "um incidente que: i) Cause, ou seja suscetível de causar, graves perturbações operacionais dos serviços ou perdas financeiras à entidade em causa; ii) Afete, ou seja suscetível de afetar, outras pessoas singulares ou coletivas, causando danos materiais ou imateriais consideráveis."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40.º n.º 3 do DL 125/2025 (parâmetros a considerar): "a) Número de utilizadores afetados pela perturbação do serviço; b) Número total de utilizadores do serviço perturbado; c) A duração do incidente; d) O nível da gravidade da perturbação do funcionamento do serviço; e) A dimensão do impacto nas atividades económicas e sociais."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40.º n.º 4 do DL 125/2025 acrescenta que as entidades devem ainda considerar "os parâmetros e limiares definidos, quando aplicável, por instrução técnica do CNCS e pelos atos de execução da Comissão" — para as entidades de infraestrutura digital abrangidas pelo Regulamento de Execução (UE) 2024/2690, esses limiares numéricos são os da Secção 4 desta ficha. Para as restantes entidades, o Regulamento 756/2026 (art. 20.º n.º 3 alínea b)) remete para "instrução técnica a aprovar pela Autoridade Nacional de Cibersegurança". O CNCS anunciou publicamente a existência de "Instruções Técnicas do Regime Jurídico da Cibersegurança", sem que tenha sido possível confirmar nesta revisão se já cobrem os parâmetros e limiares deste artigo — a confirmar diretamente com o CNCS ou na plataforma MyCiber.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42.º n.º 1 do DL 125/2025 — início da contagem do prazo: "A notificação inicial deve ser enviada à autoridade de cibersegurança competente, assim que a entidade [...] concluir que existe, ou possa vir a existir, um incidente significativo, sem demora injustificada e até 24 horas após essa verificação."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Art. 41.º do DL 125/2025 (tipos de notificação): notificação inicial (art. 42.º), notificação de fim de impacto (art. 43.º), relatório final (art. 44.º); se o incidente for resolvido nas duas horas após a deteção, só é exigida a notificação de fim de impacto (art. 41.º n.º 2). O Regulamento 756/2026, art. 20.º, confirma que estas três submissões são feitas por formulário próprio na plataforma eletrónica.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1. Identificação do evento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Data/hora de deteção do evento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Sistemas/serviços afetados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[Lista]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Breve descrição do evento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[Descrição sumária]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Responsável pela avaliação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[Nome, cargo]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2. Teste dos critérios da definição legal (Art. 2.º l))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i) O evento causa, ou é suscetível de causar, graves perturbações operacionais dos serviços ou perdas financeiras à entidade?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 — fundamentar]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ii) O evento afeta, ou é suscetível de afetar, outras pessoas singulares ou coletivas, causando danos materiais ou imateriais consideráveis?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 — fundamentar]</w:t>
            </w:r>
          </w:p>
        </w:tc>
      </w:tr>
    </w:tbl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Basta que um dos dois critérios se verifique para que o evento possa constituir incidente significativo (a definição legal usa "ou" implícito entre as subalíneas i) e ii)).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3. Parâmetros do Art. 40.º n.º 3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Parâmetro (Art. 40.º n.º 3)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 observado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Contribui para significância?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a) Número de utilizadores afetados pela perturbação do serviço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b) Número total de utilizadores do serviço perturbado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c) Duração do incidente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d) Nível de gravidade da perturbação do funcionamento do serviço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e) Dimensão do impacto nas atividades económicas e sociais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3-A. Classificação da causa/efeito (taxonomia CNCS/RNCSIRT)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descrição da categoria da causa e dos efeitos do incidente, exigida nas notificações obrigatórias (Art. 42.º n.º 2 alínea c) e Art. 44.º n.º 2 alínea c) subalínea iv) do DL 125/2025), segue a taxonomia usada pelo CNCS/CERT.PT, que por sua vez adota a taxonomia da Rede Nacional de CSIRT (RNCSIRT). Selecionar a classe e o tipo mais adequados ao evento em avaliação.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Classe de incidente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Tipos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Código Malicioso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Sistema Infetado; Distribuição de Malware; Servidor C2; Configuração de Malware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Negação de Serviço; Negação de Serviço Distribuída; Configuração incorreta; Sabotagem; Interrupção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Recolha de Informação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Scanning; Sniffing; Engenharia Social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Intrusão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Comprometimento de Conta Privilegiada; Comprometimento de Conta Não Privilegiada; Comprometimento de Aplicação; Comprometimento de Sistema; Arrombamento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Tentativa de Intrusão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Exploração de Vulnerabilidade; Tentativa de Login; Nova assinatura de ataque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Segurança da Informação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Acesso não autorizado; Modificação não autorizada; Perda de dados; Exfiltração de Informação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Fraude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Utilização indevida ou não autorizada de recursos; Direitos de autor; Utilização ilegítima de nome de terceiros; Phishing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Conteúdo Abusivo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SPAM; Discurso Nocivo; Exploração sexual de menores, racismo e apologia da violência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Vulnerabilidade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Criptografia fraca; Amplificador DDoS; Serviços acessíveis potencialmente indesejados; Revelação de informação; Sistema vulnerável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Outro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Sem tipo; Indeterminado</w:t>
            </w:r>
          </w:p>
        </w:tc>
      </w:tr>
    </w:tbl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Classe de incidente selecionada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[Ver tabela acima]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Tipo dentro da classe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[Ver tabela acima]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4. Limiares específicos — entidades abrangidas pelo Regulamento de Execução (UE) 2024/2690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Aplica-se às "entidades pertinentes" desse regulamento: prestadores de DNS, registos de TLD, computação em nuvem, centros de dados, redes de distribuição de conteúdos, serviços geridos e de segurança geridos, mercados em linha, motores de pesquisa em linha, plataformas de redes sociais e prestadores de serviços de confiança.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Critério geral de significância (Art. 3.º n.º 1 do Reg. Exec. (UE) 2024/2690): "a) O incidente causou ou é suscetível de causar à entidade pertinente perdas financeiras diretas superiores a 500 000 EUR ou a 5% do seu volume de negócios anual total ao longo do exercício financeiro anterior, consoante o que for mais baixo; b) O incidente causou ou é suscetível de causar a fuga, a partir da entidade pertinente, de segredos comerciais [...]; c) O incidente causou ou é suscetível de causar a morte de uma pessoa singular; d) O incidente causou ou é suscetível de causar danos consideráveis à saúde de uma pessoa singular; e) Ocorreu um acesso bem-sucedido, presumivelmente malicioso e não autorizado aos sistemas de rede e informação, e que é suscetível de causar graves perturbações operacionais; f) O incidente cumpre os critérios estabelecidos no artigo 4.º; g) O incidente cumpre um ou mais dos critérios estabelecidos nos artigos 5.º a 14.º" (limiares específicos por tipo de entidade, tabela seguinte). Este teste geral aplica-se independentemente do limiar específico do tipo de entidade — uma perda financeira direta de 600 000 EUR, por exemplo, já torna o incidente significativo por si só (alínea a)), mesmo sem atingir nenhum limiar de indisponibilidade da tabela.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Regra dos incidentes recorrentes (Art. 4.º do Reg. Exec. (UE) 2024/2690): "Os incidentes que, individualmente, não sejam considerados um incidente significativo na aceção do artigo 3.º devem ser considerados, coletivamente, um incidente significativo se satisfizerem cumulativamente os seguintes critérios: a) Ocorreram pelo menos duas vezes num período de seis meses; b) Têm a mesma causa primária aparente; c) Cumprem, coletivamente, os critérios estabelecidos no artigo 3.º, n.º 1, alínea a)" (perdas financeiras acima de 500 000 EUR ou 5% do volume de negócios).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Entidade (artigo)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Indisponibilidade total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Disponibilidade limitada / afetação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Compromisso de integridade/confidencialidade/autenticidade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Prestadores de DNS (art. 5.º)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Serviço de resolução recursiva ou com autoridade totalmente indisponível &gt; 30 minutos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Tempo médio de resposta &gt; 10 segundos durante &gt; 1 hora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Dados comprometidos, exceto se afetar menos de 1000 domínios geridos e menos de 1% dos domínios do prestador, por má configuração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Registos de TLD (art. 6.º)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Serviço de resolução com autoridade completamente indisponível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Tempo médio de resposta &gt; 10 segundos durante &gt; 1 hora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Integridade/confidencialidade/autenticidade dos dados da operação técnica do TLD comprometidas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Computação em nuvem (art. 7.º)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&gt; 30 minutos de indisponibilidade completa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&gt; 1 hora para &gt; 5% dos utilizadores na UE ou &gt; 1 milhão,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por ação presumivelmente maliciosa, sem limiar de escala; ou comprometidas (qualquer causa) afetando &gt; 5% ou &gt; 1 milhão de utilizadores, o que for menor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Centros de dados (art. 8.º)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Indisponibilidade completa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&gt; 1 hora (sem limiar percentual de utilizadores)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por ação maliciosa; ou acesso físico às instalações comprometido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Redes de distribuição de conteúdos — CDN (art. 9.º)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&gt; 30 minutos de indisponibilidade completa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&gt; 1 hora, afetando &gt; 5% ou &gt; 1 milhão de utilizadores,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por ação presumivelmente maliciosa, sem limiar de escala; ou comprometidas (qualquer causa) afetando &gt; 5% ou &gt; 1 milhão de utilizadores, o que for menor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Serviços geridos / serviços de segurança geridos (art. 10.º)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&gt; 30 minutos de indisponibilidade completa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&gt; 1 hora, afetando &gt; 5% ou &gt; 1 milhão de utilizadores,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por ação presumivelmente maliciosa, sem limiar de escala; ou comprometidas (qualquer causa) afetando &gt; 5% ou &gt; 1 milhão de utilizadores, o que for menor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Mercados em linha (art. 11.º)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Sem limiar de duração — considera-se totalmente indisponível quando afeta &gt; 5% ou &gt; 1 milhão de utilizadores,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(não total) afetando &gt; 5% ou &gt; 1 milhão de utilizadores,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por ação presumivelmente maliciosa, sem limiar de escala; ou comprometidas (qualquer causa) afetando &gt; 5% ou &gt; 1 milhão de utilizadores, o que for menor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Motores de pesquisa em linha (art. 12.º)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 (mercados em linha)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Plataformas de redes sociais (art. 13.º)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 (mercados em linha)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Idêntico ao art. 11.º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Prestadores de serviços de confiança (art. 14.º)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&gt; 20 minutos totalmente indisponível; ou indisponível &gt; 1 hora por semana de calendário para utilizadores/partes confiantes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Disponibilidade limitada afetando &gt; 1% ou &gt; 200 000 utilizadores/partes confiantes, o que for menor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Comprometidas afetando &gt; 0,1% ou &gt; 100 utilizadores/partes confiantes, o que for menor; acesso físico a zona de sistemas restrita comprometido é um critério autónomo separado</w:t>
            </w:r>
          </w:p>
        </w:tc>
      </w:tr>
    </w:tbl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Nota: quando o limiar combina uma percentagem e um número absoluto de utilizadores ("5% ou 1 milhão", "1% ou 200 000"), aplica-se o valor mais baixo dos dois, não o mais alto (Art. 3.º n.º 1 alínea a) e arts. 7.º a 14.º). O comprometimento de dados por ação presumivelmente maliciosa (arts. 7.º e 9.º a 13.º) é um critério autónomo, sem qualquer limiar de escala — aplica-se mesmo que afete um único utilizador.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Entidade abrangida pelo Reg. Exec. 2024/2690?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 — indicar tipo]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Critério geral do art. 3.º n.º 1 cumprido (indicar alínea a) a f))?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 — indicar alínea]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Critério de incidentes recorrentes do art. 4.º cumprido (2+ ocorrências em 6 meses, mesma causa primária, perda financeira coletiva &gt; 500 000 EUR ou 5%)?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Limiar específico do art. 5.º a 14.º atingido (alínea g))?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[Sim/Não/A confirmar — indicar artigo e alínea]</w:t>
            </w:r>
          </w:p>
        </w:tc>
      </w:tr>
    </w:tbl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a entidade não se enquadrar em nenhum destes tipos, os arts. 3.º a 14.º do Reg. Exec. (UE) 2024/2690 não se aplicam diretamente — usar apenas os parâmetros gerais do Art. 40.º n.º 3 do DL 125/2025. Nota sobre orientação técnica: a "NIS 2 Technical Implementation Guidance" da ENISA (versão 1.0, junho de 2025) mapeia as medidas de gestão de risco do anexo a este regulamento a controlos ISO/IEC 27002:2022 e recomenda, entre outras, uma política de tratamento de incidentes documentada — aplica-se apenas às entidades de infraestrutura digital e de serviços de TIC abrangidas pelo Reg. Exec. 2024/2690, não constituindo obrigação legal direta para as restantes entidades essenciais e importantes.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5. Conclusão e encaminhamento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Conclusão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[Incidente significativo / Não significativo / A confirmar]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 e hora da conclusão (início da contagem das 24 horas)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Fundamentação da decisão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[Resumo dos critérios e parâmetros determinantes]</w:t>
            </w:r>
          </w:p>
        </w:tc>
      </w:tr>
    </w:tbl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5.1. Se "incidente significativo"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e submeter a notificação inicial (Art. 42.º) no prazo de 24 horas a contar da data/hora da conclusão acima.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o incidente for resolvido nas duas horas após a deteção, submeter apenas a notificação de fim de impacto (Art. 41.º n.º 2).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Verificar se o incidente envolve dados pessoais — nesse caso, avaliar também a notificação à CNPD nos termos do art. 33.º do RGPD (prazo de 72 horas a contar do conhecimento da violação, através de formulário próprio em cnpd.pt/databreach/, distinto e cumulativo com a notificação ao CNCS). Mesmo que se conclua que a notificação à CNPD não é exigível, a violação de dados pessoais tem de ser documentada internamente, nos termos do art. 33.º n.º 5 do RGPD.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5.2. Se "não significativo"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notificação obrigatória ao CNCS não é exigida.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Considerar a notificação voluntária de informações pertinentes, nos termos do Art. 21.º do Regulamento 756/2026 (que remete para o art. 45.º n.º 1 do DL 125/2025) — não carece de autenticação na plataforma eletrónica e pode ser útil para partilha de informação sobre ciberameaças, quase incidentes ou vulnerabilidades.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Registar internamente o evento e a respetiva avaliação, para efeitos de estatística do relatório anual (Art. 30.º).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6. Quem decide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 lei não fixa expressamente quem, na estrutura da entidade, assina esta avaliação. Decorre implicitamente das funções do responsável de cibersegurança (Art. 31.º n.º 2, designadamente a alínea a) sobre gestão de riscos e a coordenação com o ponto de contacto permanente) e das funções deste último (Art. 32.º), sob supervisão do órgão de gestão (Art. 25.º n.º 1 alínea b)). Recomenda-se formalizar este procedimento internamente, com nível de decisão e prazo de escalonamento próprios.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— Checklist de verificação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Registei a data/hora exata de deteção e a data/hora exata da conclusão da avaliação.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Testei os dois critérios da definição legal do Art. 2.º alínea l).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Avaliei os cinco parâmetros do Art. 40.º n.º 3.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Classifiquei o incidente segundo a taxonomia CNCS/RNCSIRT (classe e tipo).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Verifiquei se a entidade está abrangida pelo Regulamento de Execução (UE) 2024/2690 e, em caso afirmativo, o critério geral do art. 3.º n.º 1, a regra de incidentes recorrentes do art. 4.º e os limiares específicos dos arts. 5.º a 14.º.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Registei a conclusão (significativo/não significativo) e a fundamentação.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Avaliei a necessidade de notificação dupla à CNPD (RGPD art. 33.º, formulário em cnpd.pt/databreach/) e documentei a decisão mesmo quando concluí que a notificação não era exigível.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Encaminhei o processo para a notificação obrigatória (Art. 42.º) ou para a notificação voluntária (Art. 21.º do Regulamento 756/2026), consoante o caso.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Decisão e validação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Cargo (RC/decisor)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modelo não substitui aconselhamento jurídico. A classificação final de um incidente pode ser revista pela autoridade de cibersegurança competente.</w:t>
      </w:r>
    </w:p>
    <w:p>
      <w:pPr>
        <w:pStyle w:val="Heading1"/>
      </w:pPr>
      <w:r>
        <w:rPr>
          <w:b/>
          <w:color w:val="1E3A8A"/>
          <w:sz w:val="28"/>
        </w:rPr>
        <w:t>7.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14/09/2027.</w:t>
      </w:r>
    </w:p>
    <w:p>
      <w:pPr>
        <w:pStyle w:val="Heading1"/>
      </w:pPr>
      <w:r>
        <w:rPr>
          <w:b/>
          <w:color w:val="1E3A8A"/>
          <w:sz w:val="28"/>
        </w:rPr>
        <w:t>8.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9.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Ficha de avaliação de significância do incidente — Art. 2.º l), 40.º e 41.º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2026-09-14T21:32:18.030Z</dcterms:created>
  <dcterms:modified xsi:type="dcterms:W3CDTF">2026-09-14T21:32:18.030Z</dcterms:modified>
  <dc:title>Ficha avaliacao significancia incidente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