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pPr>
    </w:p>
    <w:p>
      <w:pPr>
        <w:spacing w:after="600"/>
        <w:jc w:val="center"/>
      </w:pPr>
      <w:r>
        <w:rPr>
          <w:i/>
          <w:iCs/>
          <w:color w:val="9ca3af"/>
          <w:sz w:val="22"/>
          <w:szCs w:val="22"/>
          <w:rFonts w:ascii="Calibri" w:cs="Calibri" w:eastAsia="Calibri" w:hAnsi="Calibri"/>
        </w:rPr>
        <w:t xml:space="preserve">[Nome da organização]</w:t>
      </w:r>
    </w:p>
    <w:p>
      <w:pPr>
        <w:spacing w:after="300"/>
        <w:jc w:val="center"/>
      </w:pPr>
      <w:r>
        <w:rPr>
          <w:b/>
          <w:bCs/>
          <w:color w:val="1e3a8a"/>
          <w:sz w:val="28"/>
          <w:szCs w:val="28"/>
          <w:rFonts w:ascii="Calibri" w:cs="Calibri" w:eastAsia="Calibri" w:hAnsi="Calibri"/>
        </w:rPr>
        <w:t xml:space="preserve">Metodologia de avaliação de riscos de cibersegurança</w:t>
      </w:r>
    </w:p>
    <w:p>
      <w:pPr>
        <w:spacing w:after="1200"/>
        <w:jc w:val="center"/>
      </w:pPr>
      <w:r>
        <w:rPr>
          <w:color w:val="374151"/>
          <w:sz w:val="22"/>
          <w:szCs w:val="22"/>
          <w:rFonts w:ascii="Calibri" w:cs="Calibri" w:eastAsia="Calibri" w:hAnsi="Calibri"/>
        </w:rPr>
        <w:t xml:space="preserve">Conformidade com o DL n.º 125/2025 (NIS2) — Art. 26.º e CIR 2024/2690 Anexo 2.1</w:t>
      </w:r>
    </w:p>
    <w:p>
      <w:pPr>
        <w:spacing w:after="160"/>
        <w:jc w:val="center"/>
      </w:pPr>
      <w:r>
        <w:rPr>
          <w:b/>
          <w:bCs/>
          <w:color w:val="374151"/>
          <w:sz w:val="22"/>
          <w:szCs w:val="22"/>
          <w:rFonts w:ascii="Calibri" w:cs="Calibri" w:eastAsia="Calibri" w:hAnsi="Calibri"/>
        </w:rPr>
        <w:t xml:space="preserve">Versão: </w:t>
      </w:r>
      <w:r>
        <w:rPr>
          <w:color w:val="374151"/>
          <w:sz w:val="22"/>
          <w:szCs w:val="22"/>
          <w:rFonts w:ascii="Calibri" w:cs="Calibri" w:eastAsia="Calibri" w:hAnsi="Calibri"/>
        </w:rPr>
        <w:t xml:space="preserve">1.0</w:t>
      </w:r>
    </w:p>
    <w:p>
      <w:pPr>
        <w:spacing w:after="160"/>
        <w:jc w:val="center"/>
      </w:pPr>
      <w:r>
        <w:rPr>
          <w:b/>
          <w:bCs/>
          <w:color w:val="374151"/>
          <w:sz w:val="22"/>
          <w:szCs w:val="22"/>
          <w:rFonts w:ascii="Calibri" w:cs="Calibri" w:eastAsia="Calibri" w:hAnsi="Calibri"/>
        </w:rPr>
        <w:t xml:space="preserve">Data: </w:t>
      </w:r>
      <w:r>
        <w:rPr>
          <w:color w:val="374151"/>
          <w:sz w:val="22"/>
          <w:szCs w:val="22"/>
          <w:rFonts w:ascii="Calibri" w:cs="Calibri" w:eastAsia="Calibri" w:hAnsi="Calibri"/>
        </w:rPr>
        <w:t xml:space="preserve">18/03/2026</w:t>
      </w:r>
    </w:p>
    <w:p>
      <w:pPr>
        <w:spacing w:after="400"/>
        <w:jc w:val="center"/>
      </w:pPr>
      <w:r>
        <w:rPr>
          <w:b/>
          <w:bCs/>
          <w:color w:val="374151"/>
          <w:sz w:val="22"/>
          <w:szCs w:val="22"/>
          <w:rFonts w:ascii="Calibri" w:cs="Calibri" w:eastAsia="Calibri" w:hAnsi="Calibri"/>
        </w:rPr>
        <w:t xml:space="preserve">Classificação: </w:t>
      </w:r>
      <w:r>
        <w:rPr>
          <w:b/>
          <w:bCs/>
          <w:color w:val="dc2626"/>
          <w:sz w:val="22"/>
          <w:szCs w:val="22"/>
          <w:rFonts w:ascii="Calibri" w:cs="Calibri" w:eastAsia="Calibri" w:hAnsi="Calibri"/>
        </w:rPr>
        <w:t xml:space="preserve">Confidencial</w:t>
      </w:r>
    </w:p>
    <w:p>
      <w:r>
        <w:br w:type="page"/>
      </w:r>
    </w:p>
    <w:p>
      <w:pPr>
        <w:pStyle w:val="Heading2"/>
        <w:spacing w:before="320" w:after="160"/>
      </w:pPr>
      <w:r>
        <w:rPr>
          <w:b/>
          <w:bCs/>
          <w:color w:val="1e3a8a"/>
          <w:sz w:val="28"/>
          <w:szCs w:val="28"/>
          <w:rFonts w:ascii="Calibri" w:cs="Calibri" w:eastAsia="Calibri" w:hAnsi="Calibri"/>
        </w:rPr>
        <w:t xml:space="preserve">Controlo de versões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rPr>
          <w:tblHeader/>
        </w:trPr>
        <w:tc>
          <w:tcPr>
            <w:shd w:color="1e3a8a" w:val="solid"/>
            <w:vAlign w:val="center"/>
          </w:tcPr>
          <w:p>
            <w:r>
              <w:rPr>
                <w:b/>
                <w:bCs/>
                <w:color w:val="ffffff"/>
                <w:sz w:val="22"/>
                <w:szCs w:val="22"/>
                <w:rFonts w:ascii="Calibri" w:cs="Calibri" w:eastAsia="Calibri" w:hAnsi="Calibri"/>
              </w:rPr>
              <w:t xml:space="preserve">Versão</w:t>
            </w:r>
          </w:p>
        </w:tc>
        <w:tc>
          <w:tcPr>
            <w:shd w:color="1e3a8a" w:val="solid"/>
            <w:vAlign w:val="center"/>
          </w:tcPr>
          <w:p>
            <w:r>
              <w:rPr>
                <w:b/>
                <w:bCs/>
                <w:color w:val="ffffff"/>
                <w:sz w:val="22"/>
                <w:szCs w:val="22"/>
                <w:rFonts w:ascii="Calibri" w:cs="Calibri" w:eastAsia="Calibri" w:hAnsi="Calibri"/>
              </w:rPr>
              <w:t xml:space="preserve">Data</w:t>
            </w:r>
          </w:p>
        </w:tc>
        <w:tc>
          <w:tcPr>
            <w:shd w:color="1e3a8a" w:val="solid"/>
            <w:vAlign w:val="center"/>
          </w:tcPr>
          <w:p>
            <w:r>
              <w:rPr>
                <w:b/>
                <w:bCs/>
                <w:color w:val="ffffff"/>
                <w:sz w:val="22"/>
                <w:szCs w:val="22"/>
                <w:rFonts w:ascii="Calibri" w:cs="Calibri" w:eastAsia="Calibri" w:hAnsi="Calibri"/>
              </w:rPr>
              <w:t xml:space="preserve">Autor</w:t>
            </w:r>
          </w:p>
        </w:tc>
        <w:tc>
          <w:tcPr>
            <w:shd w:color="1e3a8a" w:val="solid"/>
            <w:vAlign w:val="center"/>
          </w:tcPr>
          <w:p>
            <w:r>
              <w:rPr>
                <w:b/>
                <w:bCs/>
                <w:color w:val="ffffff"/>
                <w:sz w:val="22"/>
                <w:szCs w:val="22"/>
                <w:rFonts w:ascii="Calibri" w:cs="Calibri" w:eastAsia="Calibri" w:hAnsi="Calibri"/>
              </w:rPr>
              <w:t xml:space="preserve">Alterações</w:t>
            </w:r>
          </w:p>
        </w:tc>
        <w:tc>
          <w:tcPr>
            <w:shd w:color="1e3a8a" w:val="solid"/>
            <w:vAlign w:val="center"/>
          </w:tcPr>
          <w:p>
            <w:r>
              <w:rPr>
                <w:b/>
                <w:bCs/>
                <w:color w:val="ffffff"/>
                <w:sz w:val="22"/>
                <w:szCs w:val="22"/>
                <w:rFonts w:ascii="Calibri" w:cs="Calibri" w:eastAsia="Calibri" w:hAnsi="Calibri"/>
              </w:rPr>
              <w:t xml:space="preserve">Aprovado por</w:t>
            </w:r>
          </w:p>
        </w:tc>
      </w:tr>
      <w:tr>
        <w:tc>
          <w:p>
            <w:r>
              <w:rPr>
                <w:color w:val="374151"/>
                <w:sz w:val="22"/>
                <w:szCs w:val="22"/>
                <w:rFonts w:ascii="Calibri" w:cs="Calibri" w:eastAsia="Calibri" w:hAnsi="Calibri"/>
              </w:rPr>
              <w:t xml:space="preserve">1.0</w:t>
            </w:r>
          </w:p>
        </w:tc>
        <w:tc>
          <w:p>
            <w:r>
              <w:rPr>
                <w:color w:val="374151"/>
                <w:sz w:val="22"/>
                <w:szCs w:val="22"/>
                <w:rFonts w:ascii="Calibri" w:cs="Calibri" w:eastAsia="Calibri" w:hAnsi="Calibri"/>
              </w:rPr>
            </w:r>
          </w:p>
        </w:tc>
        <w:tc>
          <w:p>
            <w:r>
              <w:rPr>
                <w:color w:val="374151"/>
                <w:sz w:val="22"/>
                <w:szCs w:val="22"/>
                <w:rFonts w:ascii="Calibri" w:cs="Calibri" w:eastAsia="Calibri" w:hAnsi="Calibri"/>
              </w:rPr>
              <w:t xml:space="preserve">[Autor]</w:t>
            </w:r>
          </w:p>
        </w:tc>
        <w:tc>
          <w:p>
            <w:r>
              <w:rPr>
                <w:color w:val="374151"/>
                <w:sz w:val="22"/>
                <w:szCs w:val="22"/>
                <w:rFonts w:ascii="Calibri" w:cs="Calibri" w:eastAsia="Calibri" w:hAnsi="Calibri"/>
              </w:rPr>
              <w:t xml:space="preserve">Versão inicial</w:t>
            </w:r>
          </w:p>
        </w:tc>
        <w:tc>
          <w:p>
            <w:r>
              <w:rPr>
                <w:color w:val="374151"/>
                <w:sz w:val="22"/>
                <w:szCs w:val="22"/>
                <w:rFonts w:ascii="Calibri" w:cs="Calibri" w:eastAsia="Calibri" w:hAnsi="Calibri"/>
              </w:rPr>
              <w:t xml:space="preserve">[Aprovador]</w:t>
            </w:r>
          </w:p>
        </w:tc>
      </w:tr>
    </w:tbl>
    <w:p>
      <w:r>
        <w:br w:type="page"/>
      </w:r>
    </w:p>
    <w:p>
      <w:pPr>
        <w:pStyle w:val="Heading2"/>
        <w:spacing w:before="320" w:after="160"/>
      </w:pPr>
      <w:r>
        <w:rPr>
          <w:b/>
          <w:bCs/>
          <w:color w:val="1e3a8a"/>
          <w:sz w:val="28"/>
          <w:szCs w:val="28"/>
          <w:rFonts w:ascii="Calibri" w:cs="Calibri" w:eastAsia="Calibri" w:hAnsi="Calibri"/>
        </w:rPr>
        <w:t xml:space="preserve">Índice</w:t>
      </w:r>
    </w:p>
    <w:sdt>
      <w:sdtPr>
        <w:alias w:val="Índice"/>
      </w:sdtPr>
      <w:sdtContent>
        <w:p>
          <w:r>
            <w:fldChar w:fldCharType="begin" w:dirty="true"/>
            <w:instrText xml:space="preserve">TOC \h \o "1-3" \t "undefined,1,undefined,2,undefined,3"</w:instrText>
            <w:fldChar w:fldCharType="separate"/>
          </w:r>
        </w:p>
        <w:p>
          <w:r>
            <w:fldChar w:fldCharType="end"/>
          </w:r>
        </w:p>
      </w:sdtContent>
    </w:sdt>
    <w:p>
      <w:r>
        <w:br w:type="page"/>
      </w:r>
    </w:p>
    <w:p>
      <w:pPr>
        <w:pStyle w:val="Heading1"/>
        <w:spacing w:before="400" w:after="200"/>
      </w:pPr>
      <w:r>
        <w:rPr>
          <w:b/>
          <w:bCs/>
          <w:color w:val="1e3a8a"/>
          <w:sz w:val="32"/>
          <w:szCs w:val="32"/>
          <w:rFonts w:ascii="Calibri" w:cs="Calibri" w:eastAsia="Calibri" w:hAnsi="Calibri"/>
        </w:rPr>
        <w:t xml:space="preserve">1. Objetivo e âmbito</w:t>
      </w:r>
    </w:p>
    <w:p>
      <w:pPr>
        <w:spacing w:after="160"/>
      </w:pPr>
      <w:r>
        <w:rPr>
          <w:color w:val="374151"/>
          <w:sz w:val="22"/>
          <w:szCs w:val="22"/>
          <w:rFonts w:ascii="Calibri" w:cs="Calibri" w:eastAsia="Calibri" w:hAnsi="Calibri"/>
        </w:rPr>
        <w:t xml:space="preserve">A presente metodologia define o processo estruturado e documentado que [Nome da organização] utiliza para identificar, analisar, avaliar e tratar os riscos de cibersegurança que possam afetar a confidencialidade, integridade e disponibilidade dos seus sistemas de informação, redes e dados.</w:t>
      </w:r>
    </w:p>
    <w:p>
      <w:pPr>
        <w:spacing w:after="160"/>
      </w:pPr>
      <w:r>
        <w:rPr>
          <w:color w:val="374151"/>
          <w:sz w:val="22"/>
          <w:szCs w:val="22"/>
          <w:rFonts w:ascii="Calibri" w:cs="Calibri" w:eastAsia="Calibri" w:hAnsi="Calibri"/>
        </w:rPr>
        <w:t xml:space="preserve">O objetivo principal é garantir que a organização adota uma abordagem baseada no risco, proporcional à sua exposição, ao estado da arte das ameaças e à criticidade dos serviços prestados, em cumprimento das obrigações legais estabelecidas pelo Decreto-Lei n.º 125/2025 e pelo Regulamento de Execução (UE) 2024/2690 da Comissão Europeia.</w:t>
      </w:r>
    </w:p>
    <w:p>
      <w:pPr>
        <w:spacing w:after="160"/>
      </w:pPr>
      <w:r>
        <w:rPr>
          <w:color w:val="374151"/>
          <w:sz w:val="22"/>
          <w:szCs w:val="22"/>
          <w:rFonts w:ascii="Calibri" w:cs="Calibri" w:eastAsia="Calibri" w:hAnsi="Calibri"/>
        </w:rPr>
        <w:t xml:space="preserve">Esta metodologia aplica-se a todos os sistemas de informação, infraestruturas tecnológicas, processos de negócio e ativos de informação de [Nome da organização] que suportam os serviços abrangidos pelo âmbito de aplicação do DL 125/2025. Abrange igualmente os sistemas e serviços geridos por terceiros em regime de outsourcing, quando estes sejam críticos para a prestação dos serviços da organização.</w:t>
      </w:r>
    </w:p>
    <w:p>
      <w:pPr>
        <w:shd w:color="dbeafe" w:val="solid"/>
        <w:spacing w:before="160" w:after="160"/>
        <w:ind w:left="360" w:right="360"/>
      </w:pPr>
      <w:r>
        <w:rPr>
          <w:i/>
          <w:iCs/>
          <w:color w:val="1e3a8a"/>
          <w:sz w:val="22"/>
          <w:szCs w:val="22"/>
          <w:rFonts w:ascii="Calibri" w:cs="Calibri" w:eastAsia="Calibri" w:hAnsi="Calibri"/>
        </w:rPr>
        <w:t xml:space="preserve">Art. 21(2)(a) da Diretiva NIS2 — obrigação de adotar políticas de análise dos riscos e de segurança dos sistemas de informação. Art. 26.º do DL 125/2025 — a abordagem baseada no risco deve ser proporcional à exposição ao risco, ao estado da arte e aos custos de implementação. CIR 2024/2690, Anexo 2.1 — requisitos específicos para a metodologia de avaliação de riscos das entidades abrangidas.</w:t>
      </w:r>
    </w:p>
    <w:p>
      <w:pPr>
        <w:pStyle w:val="Heading1"/>
        <w:spacing w:before="400" w:after="200"/>
      </w:pPr>
      <w:r>
        <w:rPr>
          <w:b/>
          <w:bCs/>
          <w:color w:val="1e3a8a"/>
          <w:sz w:val="32"/>
          <w:szCs w:val="32"/>
          <w:rFonts w:ascii="Calibri" w:cs="Calibri" w:eastAsia="Calibri" w:hAnsi="Calibri"/>
        </w:rPr>
        <w:t xml:space="preserve">2. Enquadramento legal e normativo</w:t>
      </w:r>
    </w:p>
    <w:p>
      <w:pPr>
        <w:spacing w:after="160"/>
      </w:pPr>
      <w:r>
        <w:rPr>
          <w:color w:val="374151"/>
          <w:sz w:val="22"/>
          <w:szCs w:val="22"/>
          <w:rFonts w:ascii="Calibri" w:cs="Calibri" w:eastAsia="Calibri" w:hAnsi="Calibri"/>
        </w:rPr>
        <w:t xml:space="preserve">A metodologia de avaliação de riscos de [Nome da organização] foi desenvolvida tendo em conta o seguinte enquadramento legal e normativo:</w:t>
      </w:r>
    </w:p>
    <w:p>
      <w:pPr>
        <w:pStyle w:val="Heading2"/>
        <w:spacing w:before="320" w:after="160"/>
      </w:pPr>
      <w:r>
        <w:rPr>
          <w:b/>
          <w:bCs/>
          <w:color w:val="1e3a8a"/>
          <w:sz w:val="28"/>
          <w:szCs w:val="28"/>
          <w:rFonts w:ascii="Calibri" w:cs="Calibri" w:eastAsia="Calibri" w:hAnsi="Calibri"/>
        </w:rPr>
        <w:t xml:space="preserve">2.1. Legislação e regulamentação aplicável</w:t>
      </w:r>
    </w:p>
    <w:p>
      <w:pPr>
        <w:pStyle w:val="ListParagraph"/>
        <w:numPr>
          <w:ilvl w:val="0"/>
          <w:numId w:val="1"/>
        </w:numPr>
        <w:spacing w:after="80"/>
      </w:pPr>
      <w:r>
        <w:rPr>
          <w:color w:val="374151"/>
          <w:sz w:val="22"/>
          <w:szCs w:val="22"/>
          <w:rFonts w:ascii="Calibri" w:cs="Calibri" w:eastAsia="Calibri" w:hAnsi="Calibri"/>
        </w:rPr>
        <w:t xml:space="preserve">Diretiva (UE) 2022/2555 (NIS2) — Art. 21(2)(a): obriga as entidades abrangidas a adotarem políticas de análise dos riscos e de segurança dos sistemas de informação como medida mínima de gestão dos riscos de cibersegurança</w:t>
      </w:r>
    </w:p>
    <w:p>
      <w:pPr>
        <w:pStyle w:val="ListParagraph"/>
        <w:numPr>
          <w:ilvl w:val="0"/>
          <w:numId w:val="1"/>
        </w:numPr>
        <w:spacing w:after="80"/>
      </w:pPr>
      <w:r>
        <w:rPr>
          <w:color w:val="374151"/>
          <w:sz w:val="22"/>
          <w:szCs w:val="22"/>
          <w:rFonts w:ascii="Calibri" w:cs="Calibri" w:eastAsia="Calibri" w:hAnsi="Calibri"/>
        </w:rPr>
        <w:t xml:space="preserve">Decreto-Lei n.º 125/2025, de 24 de fevereiro — transpõe a Diretiva NIS2 para o ordenamento jurídico português; o Art. 25.º estabelece a obrigação de adotar medidas de gestão dos riscos de cibersegurança; o Art. 26.º define os critérios de proporcionalidade; o Art. 27.º enumera as medidas mínimas obrigatórias</w:t>
      </w:r>
    </w:p>
    <w:p>
      <w:pPr>
        <w:pStyle w:val="ListParagraph"/>
        <w:numPr>
          <w:ilvl w:val="0"/>
          <w:numId w:val="1"/>
        </w:numPr>
        <w:spacing w:after="80"/>
      </w:pPr>
      <w:r>
        <w:rPr>
          <w:color w:val="374151"/>
          <w:sz w:val="22"/>
          <w:szCs w:val="22"/>
          <w:rFonts w:ascii="Calibri" w:cs="Calibri" w:eastAsia="Calibri" w:hAnsi="Calibri"/>
        </w:rPr>
        <w:t xml:space="preserve">Regulamento de Execução (UE) 2024/2690 da Comissão (CIR) — especifica os requisitos técnicos e metodológicos para a implementação das medidas de cibersegurança; o Anexo 2.1 estabelece requisitos detalhados para a metodologia de avaliação de riscos</w:t>
      </w:r>
    </w:p>
    <w:p>
      <w:pPr>
        <w:pStyle w:val="ListParagraph"/>
        <w:numPr>
          <w:ilvl w:val="0"/>
          <w:numId w:val="1"/>
        </w:numPr>
        <w:spacing w:after="80"/>
      </w:pPr>
      <w:r>
        <w:rPr>
          <w:color w:val="374151"/>
          <w:sz w:val="22"/>
          <w:szCs w:val="22"/>
          <w:rFonts w:ascii="Calibri" w:cs="Calibri" w:eastAsia="Calibri" w:hAnsi="Calibri"/>
        </w:rPr>
        <w:t xml:space="preserve">ISO/IEC 27001:2022 — Secção 6.1: requisitos para a avaliação e tratamento de riscos de segurança da informação; fornece o quadro normativo internacional de referência</w:t>
      </w:r>
    </w:p>
    <w:p>
      <w:pPr>
        <w:pStyle w:val="ListParagraph"/>
        <w:numPr>
          <w:ilvl w:val="0"/>
          <w:numId w:val="1"/>
        </w:numPr>
        <w:spacing w:after="80"/>
      </w:pPr>
      <w:r>
        <w:rPr>
          <w:color w:val="374151"/>
          <w:sz w:val="22"/>
          <w:szCs w:val="22"/>
          <w:rFonts w:ascii="Calibri" w:cs="Calibri" w:eastAsia="Calibri" w:hAnsi="Calibri"/>
        </w:rPr>
        <w:t xml:space="preserve">ISO/IEC 27005:2022 — orientações detalhadas para a gestão de riscos de segurança da informação; metodologia de referência alinhada com a ISO 27001</w:t>
      </w:r>
    </w:p>
    <w:p>
      <w:pPr>
        <w:pStyle w:val="ListParagraph"/>
        <w:numPr>
          <w:ilvl w:val="0"/>
          <w:numId w:val="1"/>
        </w:numPr>
        <w:spacing w:after="80"/>
      </w:pPr>
      <w:r>
        <w:rPr>
          <w:color w:val="374151"/>
          <w:sz w:val="22"/>
          <w:szCs w:val="22"/>
          <w:rFonts w:ascii="Calibri" w:cs="Calibri" w:eastAsia="Calibri" w:hAnsi="Calibri"/>
        </w:rPr>
        <w:t xml:space="preserve">NIST SP 800-30 Rev. 1 — guia para a realização de avaliações de risco de sistemas de informação; referência técnica complementar para avaliação de ameaças e vulnerabilidades</w:t>
      </w:r>
    </w:p>
    <w:p>
      <w:pPr>
        <w:pStyle w:val="Heading2"/>
        <w:spacing w:before="320" w:after="160"/>
      </w:pPr>
      <w:r>
        <w:rPr>
          <w:b/>
          <w:bCs/>
          <w:color w:val="1e3a8a"/>
          <w:sz w:val="28"/>
          <w:szCs w:val="28"/>
          <w:rFonts w:ascii="Calibri" w:cs="Calibri" w:eastAsia="Calibri" w:hAnsi="Calibri"/>
        </w:rPr>
        <w:t xml:space="preserve">2.2. Relação com outros documentos internos</w:t>
      </w:r>
    </w:p>
    <w:p>
      <w:pPr>
        <w:pStyle w:val="ListParagraph"/>
        <w:numPr>
          <w:ilvl w:val="0"/>
          <w:numId w:val="1"/>
        </w:numPr>
        <w:spacing w:after="80"/>
      </w:pPr>
      <w:r>
        <w:rPr>
          <w:color w:val="374151"/>
          <w:sz w:val="22"/>
          <w:szCs w:val="22"/>
          <w:rFonts w:ascii="Calibri" w:cs="Calibri" w:eastAsia="Calibri" w:hAnsi="Calibri"/>
        </w:rPr>
        <w:t xml:space="preserve">Política de segurança da informação — documento de nível superior que estabelece os objetivos e o compromisso da gestão com a segurança; define o enquadramento para a gestão de riscos</w:t>
      </w:r>
    </w:p>
    <w:p>
      <w:pPr>
        <w:pStyle w:val="ListParagraph"/>
        <w:numPr>
          <w:ilvl w:val="0"/>
          <w:numId w:val="1"/>
        </w:numPr>
        <w:spacing w:after="80"/>
      </w:pPr>
      <w:r>
        <w:rPr>
          <w:color w:val="374151"/>
          <w:sz w:val="22"/>
          <w:szCs w:val="22"/>
          <w:rFonts w:ascii="Calibri" w:cs="Calibri" w:eastAsia="Calibri" w:hAnsi="Calibri"/>
        </w:rPr>
        <w:t xml:space="preserve">Registo de ativos de informação — inventário dos ativos que devem ser considerados no âmbito da avaliação de riscos</w:t>
      </w:r>
    </w:p>
    <w:p>
      <w:pPr>
        <w:pStyle w:val="ListParagraph"/>
        <w:numPr>
          <w:ilvl w:val="0"/>
          <w:numId w:val="1"/>
        </w:numPr>
        <w:spacing w:after="80"/>
      </w:pPr>
      <w:r>
        <w:rPr>
          <w:color w:val="374151"/>
          <w:sz w:val="22"/>
          <w:szCs w:val="22"/>
          <w:rFonts w:ascii="Calibri" w:cs="Calibri" w:eastAsia="Calibri" w:hAnsi="Calibri"/>
        </w:rPr>
        <w:t xml:space="preserve">Plano de tratamento de riscos — documento que recebe os riscos identificados e classificados por esta metodologia e define as ações de tratamento</w:t>
      </w:r>
    </w:p>
    <w:p>
      <w:pPr>
        <w:pStyle w:val="ListParagraph"/>
        <w:numPr>
          <w:ilvl w:val="0"/>
          <w:numId w:val="1"/>
        </w:numPr>
        <w:spacing w:after="80"/>
      </w:pPr>
      <w:r>
        <w:rPr>
          <w:color w:val="374151"/>
          <w:sz w:val="22"/>
          <w:szCs w:val="22"/>
          <w:rFonts w:ascii="Calibri" w:cs="Calibri" w:eastAsia="Calibri" w:hAnsi="Calibri"/>
        </w:rPr>
        <w:t xml:space="preserve">Formulário de aceitação de riscos residuais — utilizado para formalizar a aceitação de riscos que excedam o apetite definido mas que não possam ser mitigados adicionalmente</w:t>
      </w:r>
    </w:p>
    <w:p>
      <w:pPr>
        <w:pStyle w:val="ListParagraph"/>
        <w:numPr>
          <w:ilvl w:val="0"/>
          <w:numId w:val="1"/>
        </w:numPr>
        <w:spacing w:after="80"/>
      </w:pPr>
      <w:r>
        <w:rPr>
          <w:color w:val="374151"/>
          <w:sz w:val="22"/>
          <w:szCs w:val="22"/>
          <w:rFonts w:ascii="Calibri" w:cs="Calibri" w:eastAsia="Calibri" w:hAnsi="Calibri"/>
        </w:rPr>
        <w:t xml:space="preserve">Relatório de avaliação de riscos — produto final do processo de avaliação, entregue à gestão de topo para aprovação</w:t>
      </w:r>
    </w:p>
    <w:p>
      <w:pPr>
        <w:shd w:color="dbeafe" w:val="solid"/>
        <w:spacing w:before="160" w:after="160"/>
        <w:ind w:left="360" w:right="360"/>
      </w:pPr>
      <w:r>
        <w:rPr>
          <w:i/>
          <w:iCs/>
          <w:color w:val="1e3a8a"/>
          <w:sz w:val="22"/>
          <w:szCs w:val="22"/>
          <w:rFonts w:ascii="Calibri" w:cs="Calibri" w:eastAsia="Calibri" w:hAnsi="Calibri"/>
        </w:rPr>
        <w:t xml:space="preserve">Art. 26.º do DL 125/2025 — a metodologia deve ser documentada, aprovada pela gestão de topo e revista periodicamente. O CIR 2024/2690 Anexo 2.1 exige que a metodologia abranja todas as fases do ciclo de gestão de riscos: identificação, análise, avaliação e tratamento.</w:t>
      </w:r>
    </w:p>
    <w:p>
      <w:pPr>
        <w:pStyle w:val="Heading1"/>
        <w:spacing w:before="400" w:after="200"/>
      </w:pPr>
      <w:r>
        <w:rPr>
          <w:b/>
          <w:bCs/>
          <w:color w:val="1e3a8a"/>
          <w:sz w:val="32"/>
          <w:szCs w:val="32"/>
          <w:rFonts w:ascii="Calibri" w:cs="Calibri" w:eastAsia="Calibri" w:hAnsi="Calibri"/>
        </w:rPr>
        <w:t xml:space="preserve">3. Definições e termos</w:t>
      </w:r>
    </w:p>
    <w:p>
      <w:pPr>
        <w:spacing w:after="160"/>
      </w:pPr>
      <w:r>
        <w:rPr>
          <w:color w:val="374151"/>
          <w:sz w:val="22"/>
          <w:szCs w:val="22"/>
          <w:rFonts w:ascii="Calibri" w:cs="Calibri" w:eastAsia="Calibri" w:hAnsi="Calibri"/>
        </w:rPr>
        <w:t xml:space="preserve">Para efeitos desta metodologia, aplicam-se as seguintes definições, alinhadas com a terminologia da ISO/IEC 27000, da Diretiva NIS2 e do DL 125/2025:</w:t>
      </w:r>
    </w:p>
    <w:p>
      <w:pPr>
        <w:pStyle w:val="ListParagraph"/>
        <w:numPr>
          <w:ilvl w:val="0"/>
          <w:numId w:val="1"/>
        </w:numPr>
        <w:spacing w:after="80"/>
      </w:pPr>
      <w:r>
        <w:rPr>
          <w:color w:val="374151"/>
          <w:sz w:val="22"/>
          <w:szCs w:val="22"/>
          <w:rFonts w:ascii="Calibri" w:cs="Calibri" w:eastAsia="Calibri" w:hAnsi="Calibri"/>
        </w:rPr>
        <w:t xml:space="preserve">Ameaça (threat) — causa potencial de um incidente indesejado que pode resultar em dano para os sistemas ou para a organização; pode ser de origem humana (intencional ou acidental) ou natural (desastres, falhas de infraestrutura)</w:t>
      </w:r>
    </w:p>
    <w:p>
      <w:pPr>
        <w:pStyle w:val="ListParagraph"/>
        <w:numPr>
          <w:ilvl w:val="0"/>
          <w:numId w:val="1"/>
        </w:numPr>
        <w:spacing w:after="80"/>
      </w:pPr>
      <w:r>
        <w:rPr>
          <w:color w:val="374151"/>
          <w:sz w:val="22"/>
          <w:szCs w:val="22"/>
          <w:rFonts w:ascii="Calibri" w:cs="Calibri" w:eastAsia="Calibri" w:hAnsi="Calibri"/>
        </w:rPr>
        <w:t xml:space="preserve">Vulnerabilidade (vulnerability) — fraqueza de um ativo ou de um controlo que pode ser explorada por uma ou mais ameaças; pode existir em software, hardware, processos, configurações ou no comportamento humano</w:t>
      </w:r>
    </w:p>
    <w:p>
      <w:pPr>
        <w:pStyle w:val="ListParagraph"/>
        <w:numPr>
          <w:ilvl w:val="0"/>
          <w:numId w:val="1"/>
        </w:numPr>
        <w:spacing w:after="80"/>
      </w:pPr>
      <w:r>
        <w:rPr>
          <w:color w:val="374151"/>
          <w:sz w:val="22"/>
          <w:szCs w:val="22"/>
          <w:rFonts w:ascii="Calibri" w:cs="Calibri" w:eastAsia="Calibri" w:hAnsi="Calibri"/>
        </w:rPr>
        <w:t xml:space="preserve">Risco (risk) — efeito da incerteza sobre os objetivos; no contexto de cibersegurança, combinação da probabilidade de ocorrência de uma ameaça que explore uma vulnerabilidade e do impacto resultante sobre os ativos e serviços da organização</w:t>
      </w:r>
    </w:p>
    <w:p>
      <w:pPr>
        <w:pStyle w:val="ListParagraph"/>
        <w:numPr>
          <w:ilvl w:val="0"/>
          <w:numId w:val="1"/>
        </w:numPr>
        <w:spacing w:after="80"/>
      </w:pPr>
      <w:r>
        <w:rPr>
          <w:color w:val="374151"/>
          <w:sz w:val="22"/>
          <w:szCs w:val="22"/>
          <w:rFonts w:ascii="Calibri" w:cs="Calibri" w:eastAsia="Calibri" w:hAnsi="Calibri"/>
        </w:rPr>
        <w:t xml:space="preserve">Risco inerente (inherent risk) — nível de risco existente sem considerar quaisquer controlos ou medidas de mitigação; representa a exposição ao risco no seu estado bruto</w:t>
      </w:r>
    </w:p>
    <w:p>
      <w:pPr>
        <w:pStyle w:val="ListParagraph"/>
        <w:numPr>
          <w:ilvl w:val="0"/>
          <w:numId w:val="1"/>
        </w:numPr>
        <w:spacing w:after="80"/>
      </w:pPr>
      <w:r>
        <w:rPr>
          <w:color w:val="374151"/>
          <w:sz w:val="22"/>
          <w:szCs w:val="22"/>
          <w:rFonts w:ascii="Calibri" w:cs="Calibri" w:eastAsia="Calibri" w:hAnsi="Calibri"/>
        </w:rPr>
        <w:t xml:space="preserve">Risco residual (residual risk) — nível de risco remanescente após a implementação dos controlos e medidas de mitigação; é o risco que a organização efetivamente enfrenta após as ações de tratamento</w:t>
      </w:r>
    </w:p>
    <w:p>
      <w:pPr>
        <w:pStyle w:val="ListParagraph"/>
        <w:numPr>
          <w:ilvl w:val="0"/>
          <w:numId w:val="1"/>
        </w:numPr>
        <w:spacing w:after="80"/>
      </w:pPr>
      <w:r>
        <w:rPr>
          <w:color w:val="374151"/>
          <w:sz w:val="22"/>
          <w:szCs w:val="22"/>
          <w:rFonts w:ascii="Calibri" w:cs="Calibri" w:eastAsia="Calibri" w:hAnsi="Calibri"/>
        </w:rPr>
        <w:t xml:space="preserve">Apetite de risco (risk appetite) — nível e tipo de risco que a organização está disposta a assumir em prossecução dos seus objetivos, aprovado formalmente pela gestão de topo</w:t>
      </w:r>
    </w:p>
    <w:p>
      <w:pPr>
        <w:pStyle w:val="ListParagraph"/>
        <w:numPr>
          <w:ilvl w:val="0"/>
          <w:numId w:val="1"/>
        </w:numPr>
        <w:spacing w:after="80"/>
      </w:pPr>
      <w:r>
        <w:rPr>
          <w:color w:val="374151"/>
          <w:sz w:val="22"/>
          <w:szCs w:val="22"/>
          <w:rFonts w:ascii="Calibri" w:cs="Calibri" w:eastAsia="Calibri" w:hAnsi="Calibri"/>
        </w:rPr>
        <w:t xml:space="preserve">Tolerância de risco (risk tolerance) — variação aceitável em torno dos objetivos de risco; define os limites operacionais dentro dos quais a organização opera; pode ser mais granular do que o apetite de risco</w:t>
      </w:r>
    </w:p>
    <w:p>
      <w:pPr>
        <w:pStyle w:val="ListParagraph"/>
        <w:numPr>
          <w:ilvl w:val="0"/>
          <w:numId w:val="1"/>
        </w:numPr>
        <w:spacing w:after="80"/>
      </w:pPr>
      <w:r>
        <w:rPr>
          <w:color w:val="374151"/>
          <w:sz w:val="22"/>
          <w:szCs w:val="22"/>
          <w:rFonts w:ascii="Calibri" w:cs="Calibri" w:eastAsia="Calibri" w:hAnsi="Calibri"/>
        </w:rPr>
        <w:t xml:space="preserve">Tratamento do risco (risk treatment) — processo de seleção e implementação de medidas para modificar o risco; inclui as estratégias de mitigação, transferência, aceitação e evitamento</w:t>
      </w:r>
    </w:p>
    <w:p>
      <w:pPr>
        <w:pStyle w:val="ListParagraph"/>
        <w:numPr>
          <w:ilvl w:val="0"/>
          <w:numId w:val="1"/>
        </w:numPr>
        <w:spacing w:after="80"/>
      </w:pPr>
      <w:r>
        <w:rPr>
          <w:color w:val="374151"/>
          <w:sz w:val="22"/>
          <w:szCs w:val="22"/>
          <w:rFonts w:ascii="Calibri" w:cs="Calibri" w:eastAsia="Calibri" w:hAnsi="Calibri"/>
        </w:rPr>
        <w:t xml:space="preserve">Proprietário do risco (risk owner) — pessoa ou entidade com responsabilidade e autoridade para gerir um risco específico; aprova as decisões de tratamento e monitoriza a evolução do risco</w:t>
      </w:r>
    </w:p>
    <w:p>
      <w:pPr>
        <w:pStyle w:val="ListParagraph"/>
        <w:numPr>
          <w:ilvl w:val="0"/>
          <w:numId w:val="1"/>
        </w:numPr>
        <w:spacing w:after="80"/>
      </w:pPr>
      <w:r>
        <w:rPr>
          <w:color w:val="374151"/>
          <w:sz w:val="22"/>
          <w:szCs w:val="22"/>
          <w:rFonts w:ascii="Calibri" w:cs="Calibri" w:eastAsia="Calibri" w:hAnsi="Calibri"/>
        </w:rPr>
        <w:t xml:space="preserve">Criticidade — grau de importância de um ativo, sistema ou serviço para a continuidade das operações e para o cumprimento das obrigações legais da organização</w:t>
      </w:r>
    </w:p>
    <w:p>
      <w:pPr>
        <w:pStyle w:val="Heading1"/>
        <w:spacing w:before="400" w:after="200"/>
      </w:pPr>
      <w:r>
        <w:rPr>
          <w:b/>
          <w:bCs/>
          <w:color w:val="1e3a8a"/>
          <w:sz w:val="32"/>
          <w:szCs w:val="32"/>
          <w:rFonts w:ascii="Calibri" w:cs="Calibri" w:eastAsia="Calibri" w:hAnsi="Calibri"/>
        </w:rPr>
        <w:t xml:space="preserve">4. Contexto organizacional</w:t>
      </w:r>
    </w:p>
    <w:p>
      <w:pPr>
        <w:spacing w:after="160"/>
      </w:pPr>
      <w:r>
        <w:rPr>
          <w:color w:val="374151"/>
          <w:sz w:val="22"/>
          <w:szCs w:val="22"/>
          <w:rFonts w:ascii="Calibri" w:cs="Calibri" w:eastAsia="Calibri" w:hAnsi="Calibri"/>
        </w:rPr>
        <w:t xml:space="preserve">Antes de iniciar a avaliação de riscos, é necessário estabelecer o contexto organizacional de forma a garantir que a avaliação reflita a realidade da organização, as suas obrigações e o seu ambiente operacional.</w:t>
      </w:r>
    </w:p>
    <w:p>
      <w:pPr>
        <w:pStyle w:val="Heading2"/>
        <w:spacing w:before="320" w:after="160"/>
      </w:pPr>
      <w:r>
        <w:rPr>
          <w:b/>
          <w:bCs/>
          <w:color w:val="1e3a8a"/>
          <w:sz w:val="28"/>
          <w:szCs w:val="28"/>
          <w:rFonts w:ascii="Calibri" w:cs="Calibri" w:eastAsia="Calibri" w:hAnsi="Calibri"/>
        </w:rPr>
        <w:t xml:space="preserve">4.1. Identificação de processos críticos</w:t>
      </w:r>
    </w:p>
    <w:p>
      <w:pPr>
        <w:spacing w:after="160"/>
      </w:pPr>
      <w:r>
        <w:rPr>
          <w:color w:val="374151"/>
          <w:sz w:val="22"/>
          <w:szCs w:val="22"/>
          <w:rFonts w:ascii="Calibri" w:cs="Calibri" w:eastAsia="Calibri" w:hAnsi="Calibri"/>
        </w:rPr>
        <w:t xml:space="preserve">A identificação dos processos críticos é o ponto de partida para determinar o âmbito e a prioridade da avaliação de riscos. Os processos críticos são aqueles cuja interrupção ou comprometimento teria impacto significativo na prestação dos serviços abrangidos pelo DL 125/2025 ou na continuidade das operações da organização.</w:t>
      </w:r>
    </w:p>
    <w:p>
      <w:pPr>
        <w:pStyle w:val="ListParagraph"/>
        <w:numPr>
          <w:ilvl w:val="0"/>
          <w:numId w:val="1"/>
        </w:numPr>
        <w:spacing w:after="80"/>
      </w:pPr>
      <w:r>
        <w:rPr>
          <w:color w:val="374151"/>
          <w:sz w:val="22"/>
          <w:szCs w:val="22"/>
          <w:rFonts w:ascii="Calibri" w:cs="Calibri" w:eastAsia="Calibri" w:hAnsi="Calibri"/>
        </w:rPr>
        <w:t xml:space="preserve">Levantamento de processos — inventariação de todos os processos de negócio e operacionais, com identificação dos responsáveis, dos sistemas de suporte e das dependências externas</w:t>
      </w:r>
    </w:p>
    <w:p>
      <w:pPr>
        <w:pStyle w:val="ListParagraph"/>
        <w:numPr>
          <w:ilvl w:val="0"/>
          <w:numId w:val="1"/>
        </w:numPr>
        <w:spacing w:after="80"/>
      </w:pPr>
      <w:r>
        <w:rPr>
          <w:color w:val="374151"/>
          <w:sz w:val="22"/>
          <w:szCs w:val="22"/>
          <w:rFonts w:ascii="Calibri" w:cs="Calibri" w:eastAsia="Calibri" w:hAnsi="Calibri"/>
        </w:rPr>
        <w:t xml:space="preserve">Critérios de criticidade — avaliação de cada processo com base nos seguintes critérios: essencialidade para a prestação de serviços regulados, impacto financeiro de uma interrupção, obrigações legais e regulatórias associadas, dependências de terceiros e cadeias de fornecimento</w:t>
      </w:r>
    </w:p>
    <w:p>
      <w:pPr>
        <w:pStyle w:val="ListParagraph"/>
        <w:numPr>
          <w:ilvl w:val="0"/>
          <w:numId w:val="1"/>
        </w:numPr>
        <w:spacing w:after="80"/>
      </w:pPr>
      <w:r>
        <w:rPr>
          <w:color w:val="374151"/>
          <w:sz w:val="22"/>
          <w:szCs w:val="22"/>
          <w:rFonts w:ascii="Calibri" w:cs="Calibri" w:eastAsia="Calibri" w:hAnsi="Calibri"/>
        </w:rPr>
        <w:t xml:space="preserve">Classificação — cada processo é classificado como crítico, importante ou não crítico, com base na avaliação dos critérios acima; os processos críticos e importantes são priorizados na avaliação de riscos</w:t>
      </w:r>
    </w:p>
    <w:p>
      <w:pPr>
        <w:pStyle w:val="Heading2"/>
        <w:spacing w:before="320" w:after="160"/>
      </w:pPr>
      <w:r>
        <w:rPr>
          <w:b/>
          <w:bCs/>
          <w:color w:val="1e3a8a"/>
          <w:sz w:val="28"/>
          <w:szCs w:val="28"/>
          <w:rFonts w:ascii="Calibri" w:cs="Calibri" w:eastAsia="Calibri" w:hAnsi="Calibri"/>
        </w:rPr>
        <w:t xml:space="preserve">4.2. Inventário e classificação de ativos</w:t>
      </w:r>
    </w:p>
    <w:p>
      <w:pPr>
        <w:spacing w:after="160"/>
      </w:pPr>
      <w:r>
        <w:rPr>
          <w:color w:val="374151"/>
          <w:sz w:val="22"/>
          <w:szCs w:val="22"/>
          <w:rFonts w:ascii="Calibri" w:cs="Calibri" w:eastAsia="Calibri" w:hAnsi="Calibri"/>
        </w:rPr>
        <w:t xml:space="preserve">O inventário de ativos de informação constitui a base para a avaliação de riscos. Apenas podem ser avaliados os riscos sobre ativos que tenham sido previamente identificados e classificados.</w:t>
      </w:r>
    </w:p>
    <w:p>
      <w:pPr>
        <w:pStyle w:val="ListParagraph"/>
        <w:numPr>
          <w:ilvl w:val="0"/>
          <w:numId w:val="1"/>
        </w:numPr>
        <w:spacing w:after="80"/>
      </w:pPr>
      <w:r>
        <w:rPr>
          <w:color w:val="374151"/>
          <w:sz w:val="22"/>
          <w:szCs w:val="22"/>
          <w:rFonts w:ascii="Calibri" w:cs="Calibri" w:eastAsia="Calibri" w:hAnsi="Calibri"/>
        </w:rPr>
        <w:t xml:space="preserve">Ativos de informação primários — informação crítica (dados de clientes, dados financeiros, segredos comerciais, dados pessoais) e processos de negócio críticos</w:t>
      </w:r>
    </w:p>
    <w:p>
      <w:pPr>
        <w:pStyle w:val="ListParagraph"/>
        <w:numPr>
          <w:ilvl w:val="0"/>
          <w:numId w:val="1"/>
        </w:numPr>
        <w:spacing w:after="80"/>
      </w:pPr>
      <w:r>
        <w:rPr>
          <w:color w:val="374151"/>
          <w:sz w:val="22"/>
          <w:szCs w:val="22"/>
          <w:rFonts w:ascii="Calibri" w:cs="Calibri" w:eastAsia="Calibri" w:hAnsi="Calibri"/>
        </w:rPr>
        <w:t xml:space="preserve">Ativos de suporte — hardware (servidores, equipamentos de rede, dispositivos de utilizador final, equipamentos de segurança física), software (sistemas operativos, aplicações, middleware, bases de dados), redes e infraestrutura de comunicações, instalações físicas e utilitários</w:t>
      </w:r>
    </w:p>
    <w:p>
      <w:pPr>
        <w:pStyle w:val="ListParagraph"/>
        <w:numPr>
          <w:ilvl w:val="0"/>
          <w:numId w:val="1"/>
        </w:numPr>
        <w:spacing w:after="80"/>
      </w:pPr>
      <w:r>
        <w:rPr>
          <w:color w:val="374151"/>
          <w:sz w:val="22"/>
          <w:szCs w:val="22"/>
          <w:rFonts w:ascii="Calibri" w:cs="Calibri" w:eastAsia="Calibri" w:hAnsi="Calibri"/>
        </w:rPr>
        <w:t xml:space="preserve">Serviços externos — serviços de cloud, outsourcing de TI, serviços de segurança geridos (MSSP), fornecedores críticos da cadeia de abastecimento</w:t>
      </w:r>
    </w:p>
    <w:p>
      <w:pPr>
        <w:pStyle w:val="ListParagraph"/>
        <w:numPr>
          <w:ilvl w:val="0"/>
          <w:numId w:val="1"/>
        </w:numPr>
        <w:spacing w:after="80"/>
      </w:pPr>
      <w:r>
        <w:rPr>
          <w:color w:val="374151"/>
          <w:sz w:val="22"/>
          <w:szCs w:val="22"/>
          <w:rFonts w:ascii="Calibri" w:cs="Calibri" w:eastAsia="Calibri" w:hAnsi="Calibri"/>
        </w:rPr>
        <w:t xml:space="preserve">Dimensões de segurança a avaliar — para cada ativo: confidencialidade (impacto da divulgação não autorizada), integridade (impacto da alteração não autorizada) e disponibilidade (impacto da indisponibilidade)</w:t>
      </w:r>
    </w:p>
    <w:p>
      <w:pPr>
        <w:pStyle w:val="Heading2"/>
        <w:spacing w:before="320" w:after="160"/>
      </w:pPr>
      <w:r>
        <w:rPr>
          <w:b/>
          <w:bCs/>
          <w:color w:val="1e3a8a"/>
          <w:sz w:val="28"/>
          <w:szCs w:val="28"/>
          <w:rFonts w:ascii="Calibri" w:cs="Calibri" w:eastAsia="Calibri" w:hAnsi="Calibri"/>
        </w:rPr>
        <w:t xml:space="preserve">4.3. Identificação de partes interessadas</w:t>
      </w:r>
    </w:p>
    <w:p>
      <w:pPr>
        <w:pStyle w:val="ListParagraph"/>
        <w:numPr>
          <w:ilvl w:val="0"/>
          <w:numId w:val="1"/>
        </w:numPr>
        <w:spacing w:after="80"/>
      </w:pPr>
      <w:r>
        <w:rPr>
          <w:color w:val="374151"/>
          <w:sz w:val="22"/>
          <w:szCs w:val="22"/>
          <w:rFonts w:ascii="Calibri" w:cs="Calibri" w:eastAsia="Calibri" w:hAnsi="Calibri"/>
        </w:rPr>
        <w:t xml:space="preserve">Internas — gestão de topo (responsável pela aprovação do apetite de risco e das decisões de tratamento), CISO (responsável pela condução do processo de avaliação de riscos), proprietários de processos e sistemas (responsáveis pelos riscos no seu âmbito), utilizadores e colaboradores</w:t>
      </w:r>
    </w:p>
    <w:p>
      <w:pPr>
        <w:pStyle w:val="ListParagraph"/>
        <w:numPr>
          <w:ilvl w:val="0"/>
          <w:numId w:val="1"/>
        </w:numPr>
        <w:spacing w:after="80"/>
      </w:pPr>
      <w:r>
        <w:rPr>
          <w:color w:val="374151"/>
          <w:sz w:val="22"/>
          <w:szCs w:val="22"/>
          <w:rFonts w:ascii="Calibri" w:cs="Calibri" w:eastAsia="Calibri" w:hAnsi="Calibri"/>
        </w:rPr>
        <w:t xml:space="preserve">Externas — entidade de supervisão (CNCS — Centro Nacional de Cibersegurança), clientes e parceiros (impactados por incidentes na organização), fornecedores críticos (cujas falhas podem materializar riscos na organização), seguradoras (em caso de transferência de risco por via de apólice de cyber), autoridades (CNPD em matéria de proteção de dados)</w:t>
      </w:r>
    </w:p>
    <w:p>
      <w:pPr>
        <w:shd w:color="dbeafe" w:val="solid"/>
        <w:spacing w:before="160" w:after="160"/>
        <w:ind w:left="360" w:right="360"/>
      </w:pPr>
      <w:r>
        <w:rPr>
          <w:i/>
          <w:iCs/>
          <w:color w:val="1e3a8a"/>
          <w:sz w:val="22"/>
          <w:szCs w:val="22"/>
          <w:rFonts w:ascii="Calibri" w:cs="Calibri" w:eastAsia="Calibri" w:hAnsi="Calibri"/>
        </w:rPr>
        <w:t xml:space="preserve">CIR 2024/2690, Anexo 2.1 — o processo de avaliação de riscos deve ter em consideração as dependências críticas da organização, incluindo fornecedores de serviços de TIC e parceiros da cadeia de fornecimento, bem como os riscos decorrentes de interdependências entre setores.</w:t>
      </w:r>
    </w:p>
    <w:p>
      <w:pPr>
        <w:pStyle w:val="Heading1"/>
        <w:spacing w:before="400" w:after="200"/>
      </w:pPr>
      <w:r>
        <w:rPr>
          <w:b/>
          <w:bCs/>
          <w:color w:val="1e3a8a"/>
          <w:sz w:val="32"/>
          <w:szCs w:val="32"/>
          <w:rFonts w:ascii="Calibri" w:cs="Calibri" w:eastAsia="Calibri" w:hAnsi="Calibri"/>
        </w:rPr>
        <w:t xml:space="preserve">5. Identificação de riscos</w:t>
      </w:r>
    </w:p>
    <w:p>
      <w:pPr>
        <w:spacing w:after="160"/>
      </w:pPr>
      <w:r>
        <w:rPr>
          <w:color w:val="374151"/>
          <w:sz w:val="22"/>
          <w:szCs w:val="22"/>
          <w:rFonts w:ascii="Calibri" w:cs="Calibri" w:eastAsia="Calibri" w:hAnsi="Calibri"/>
        </w:rPr>
        <w:t xml:space="preserve">A fase de identificação de riscos tem por objetivo identificar de forma sistemática e exaustiva todos os riscos de cibersegurança relevantes para a organização, abrangendo as ameaças, as vulnerabilidades e os cenários de risco potenciais.</w:t>
      </w:r>
    </w:p>
    <w:p>
      <w:pPr>
        <w:pStyle w:val="Heading2"/>
        <w:spacing w:before="320" w:after="160"/>
      </w:pPr>
      <w:r>
        <w:rPr>
          <w:b/>
          <w:bCs/>
          <w:color w:val="1e3a8a"/>
          <w:sz w:val="28"/>
          <w:szCs w:val="28"/>
          <w:rFonts w:ascii="Calibri" w:cs="Calibri" w:eastAsia="Calibri" w:hAnsi="Calibri"/>
        </w:rPr>
        <w:t xml:space="preserve">5.1. Fontes de informação sobre ameaças</w:t>
      </w:r>
    </w:p>
    <w:p>
      <w:pPr>
        <w:pStyle w:val="ListParagraph"/>
        <w:numPr>
          <w:ilvl w:val="0"/>
          <w:numId w:val="1"/>
        </w:numPr>
        <w:spacing w:after="80"/>
      </w:pPr>
      <w:r>
        <w:rPr>
          <w:color w:val="374151"/>
          <w:sz w:val="22"/>
          <w:szCs w:val="22"/>
          <w:rFonts w:ascii="Calibri" w:cs="Calibri" w:eastAsia="Calibri" w:hAnsi="Calibri"/>
        </w:rPr>
        <w:t xml:space="preserve">ENISA Threat Landscape — relatório anual da Agência da União Europeia para a Cibersegurança sobre as principais ameaças e tendências; disponível em enisa.europa.eu</w:t>
      </w:r>
    </w:p>
    <w:p>
      <w:pPr>
        <w:pStyle w:val="ListParagraph"/>
        <w:numPr>
          <w:ilvl w:val="0"/>
          <w:numId w:val="1"/>
        </w:numPr>
        <w:spacing w:after="80"/>
      </w:pPr>
      <w:r>
        <w:rPr>
          <w:color w:val="374151"/>
          <w:sz w:val="22"/>
          <w:szCs w:val="22"/>
          <w:rFonts w:ascii="Calibri" w:cs="Calibri" w:eastAsia="Calibri" w:hAnsi="Calibri"/>
        </w:rPr>
        <w:t xml:space="preserve">CNCS — Centro Nacional de Cibersegurança — alertas, boletins e relatórios de cibersegurança para o contexto nacional; disponível em cncs.gov.pt</w:t>
      </w:r>
    </w:p>
    <w:p>
      <w:pPr>
        <w:pStyle w:val="ListParagraph"/>
        <w:numPr>
          <w:ilvl w:val="0"/>
          <w:numId w:val="1"/>
        </w:numPr>
        <w:spacing w:after="80"/>
      </w:pPr>
      <w:r>
        <w:rPr>
          <w:color w:val="374151"/>
          <w:sz w:val="22"/>
          <w:szCs w:val="22"/>
          <w:rFonts w:ascii="Calibri" w:cs="Calibri" w:eastAsia="Calibri" w:hAnsi="Calibri"/>
        </w:rPr>
        <w:t xml:space="preserve">MITRE ATT&amp;CK Framework — base de conhecimento de táticas, técnicas e procedimentos (TTP) utilizados por atacantes; referência para a identificação de vetores de ataque relevantes para o setor</w:t>
      </w:r>
    </w:p>
    <w:p>
      <w:pPr>
        <w:pStyle w:val="ListParagraph"/>
        <w:numPr>
          <w:ilvl w:val="0"/>
          <w:numId w:val="1"/>
        </w:numPr>
        <w:spacing w:after="80"/>
      </w:pPr>
      <w:r>
        <w:rPr>
          <w:color w:val="374151"/>
          <w:sz w:val="22"/>
          <w:szCs w:val="22"/>
          <w:rFonts w:ascii="Calibri" w:cs="Calibri" w:eastAsia="Calibri" w:hAnsi="Calibri"/>
        </w:rPr>
        <w:t xml:space="preserve">CVE/NVD — base de dados de vulnerabilidades conhecidas (Common Vulnerabilities and Exposures / National Vulnerability Database); essencial para a identificação de vulnerabilidades em produtos e componentes utilizados</w:t>
      </w:r>
    </w:p>
    <w:p>
      <w:pPr>
        <w:pStyle w:val="ListParagraph"/>
        <w:numPr>
          <w:ilvl w:val="0"/>
          <w:numId w:val="1"/>
        </w:numPr>
        <w:spacing w:after="80"/>
      </w:pPr>
      <w:r>
        <w:rPr>
          <w:color w:val="374151"/>
          <w:sz w:val="22"/>
          <w:szCs w:val="22"/>
          <w:rFonts w:ascii="Calibri" w:cs="Calibri" w:eastAsia="Calibri" w:hAnsi="Calibri"/>
        </w:rPr>
        <w:t xml:space="preserve">Histórico interno de incidentes — registo de incidentes e quase-acidentes ocorridos na organização; fonte privilegiada de informação sobre ameaças e vulnerabilidades reais</w:t>
      </w:r>
    </w:p>
    <w:p>
      <w:pPr>
        <w:pStyle w:val="ListParagraph"/>
        <w:numPr>
          <w:ilvl w:val="0"/>
          <w:numId w:val="1"/>
        </w:numPr>
        <w:spacing w:after="80"/>
      </w:pPr>
      <w:r>
        <w:rPr>
          <w:color w:val="374151"/>
          <w:sz w:val="22"/>
          <w:szCs w:val="22"/>
          <w:rFonts w:ascii="Calibri" w:cs="Calibri" w:eastAsia="Calibri" w:hAnsi="Calibri"/>
        </w:rPr>
        <w:t xml:space="preserve">Partilha de informação setorial — informação partilhada em ISACs (Information Sharing and Analysis Centers) setoriais e através do CNCS</w:t>
      </w:r>
    </w:p>
    <w:p>
      <w:pPr>
        <w:pStyle w:val="ListParagraph"/>
        <w:numPr>
          <w:ilvl w:val="0"/>
          <w:numId w:val="1"/>
        </w:numPr>
        <w:spacing w:after="80"/>
      </w:pPr>
      <w:r>
        <w:rPr>
          <w:color w:val="374151"/>
          <w:sz w:val="22"/>
          <w:szCs w:val="22"/>
          <w:rFonts w:ascii="Calibri" w:cs="Calibri" w:eastAsia="Calibri" w:hAnsi="Calibri"/>
        </w:rPr>
        <w:t xml:space="preserve">Resultados de testes de penetração e avaliações de vulnerabilidades — identificação técnica de vulnerabilidades na infraestrutura da organização</w:t>
      </w:r>
    </w:p>
    <w:p>
      <w:pPr>
        <w:pStyle w:val="Heading2"/>
        <w:spacing w:before="320" w:after="160"/>
      </w:pPr>
      <w:r>
        <w:rPr>
          <w:b/>
          <w:bCs/>
          <w:color w:val="1e3a8a"/>
          <w:sz w:val="28"/>
          <w:szCs w:val="28"/>
          <w:rFonts w:ascii="Calibri" w:cs="Calibri" w:eastAsia="Calibri" w:hAnsi="Calibri"/>
        </w:rPr>
        <w:t xml:space="preserve">5.2. Técnicas de identificação de riscos</w:t>
      </w:r>
    </w:p>
    <w:p>
      <w:pPr>
        <w:pStyle w:val="ListParagraph"/>
        <w:numPr>
          <w:ilvl w:val="0"/>
          <w:numId w:val="1"/>
        </w:numPr>
        <w:spacing w:after="80"/>
      </w:pPr>
      <w:r>
        <w:rPr>
          <w:color w:val="374151"/>
          <w:sz w:val="22"/>
          <w:szCs w:val="22"/>
          <w:rFonts w:ascii="Calibri" w:cs="Calibri" w:eastAsia="Calibri" w:hAnsi="Calibri"/>
        </w:rPr>
        <w:t xml:space="preserve">Workshops de identificação de riscos — sessões estruturadas com os proprietários de processos e sistemas, conduzidas pelo CISO; utilização de técnicas de brainstorming e de listas de verificação baseadas nas principais categorias de ameaças (ataques externos, erros internos, falhas de sistemas, eventos físicos e ambientais)</w:t>
      </w:r>
    </w:p>
    <w:p>
      <w:pPr>
        <w:pStyle w:val="ListParagraph"/>
        <w:numPr>
          <w:ilvl w:val="0"/>
          <w:numId w:val="1"/>
        </w:numPr>
        <w:spacing w:after="80"/>
      </w:pPr>
      <w:r>
        <w:rPr>
          <w:color w:val="374151"/>
          <w:sz w:val="22"/>
          <w:szCs w:val="22"/>
          <w:rFonts w:ascii="Calibri" w:cs="Calibri" w:eastAsia="Calibri" w:hAnsi="Calibri"/>
        </w:rPr>
        <w:t xml:space="preserve">Entrevistas individuais — entrevistas aprofundadas com os responsáveis de áreas específicas (Diretor de TI, DPO, responsáveis de processos críticos) para identificar riscos específicos do contexto operacional</w:t>
      </w:r>
    </w:p>
    <w:p>
      <w:pPr>
        <w:pStyle w:val="ListParagraph"/>
        <w:numPr>
          <w:ilvl w:val="0"/>
          <w:numId w:val="1"/>
        </w:numPr>
        <w:spacing w:after="80"/>
      </w:pPr>
      <w:r>
        <w:rPr>
          <w:color w:val="374151"/>
          <w:sz w:val="22"/>
          <w:szCs w:val="22"/>
          <w:rFonts w:ascii="Calibri" w:cs="Calibri" w:eastAsia="Calibri" w:hAnsi="Calibri"/>
        </w:rPr>
        <w:t xml:space="preserve">Análise documental — revisão de arquiteturas de sistemas, diagramas de rede, contratos com fornecedores, resultados de testes técnicos e relatórios de auditorias anteriores</w:t>
      </w:r>
    </w:p>
    <w:p>
      <w:pPr>
        <w:pStyle w:val="ListParagraph"/>
        <w:numPr>
          <w:ilvl w:val="0"/>
          <w:numId w:val="1"/>
        </w:numPr>
        <w:spacing w:after="80"/>
      </w:pPr>
      <w:r>
        <w:rPr>
          <w:color w:val="374151"/>
          <w:sz w:val="22"/>
          <w:szCs w:val="22"/>
          <w:rFonts w:ascii="Calibri" w:cs="Calibri" w:eastAsia="Calibri" w:hAnsi="Calibri"/>
        </w:rPr>
        <w:t xml:space="preserve">Análise de cenários — construção de cenários de ataque plausíveis com base nas ameaças identificadas, nas vulnerabilidades conhecidas e no perfil da organização; avaliação das consequências de cada cenário</w:t>
      </w:r>
    </w:p>
    <w:p>
      <w:pPr>
        <w:pStyle w:val="ListParagraph"/>
        <w:numPr>
          <w:ilvl w:val="0"/>
          <w:numId w:val="1"/>
        </w:numPr>
        <w:spacing w:after="80"/>
      </w:pPr>
      <w:r>
        <w:rPr>
          <w:color w:val="374151"/>
          <w:sz w:val="22"/>
          <w:szCs w:val="22"/>
          <w:rFonts w:ascii="Calibri" w:cs="Calibri" w:eastAsia="Calibri" w:hAnsi="Calibri"/>
        </w:rPr>
        <w:t xml:space="preserve">Análise histórica — revisão dos incidentes de cibersegurança ocorridos na organização e em organizações semelhantes do mesmo setor; identificação de padrões e tendências</w:t>
      </w:r>
    </w:p>
    <w:p>
      <w:pPr>
        <w:pStyle w:val="Heading2"/>
        <w:spacing w:before="320" w:after="160"/>
      </w:pPr>
      <w:r>
        <w:rPr>
          <w:b/>
          <w:bCs/>
          <w:color w:val="1e3a8a"/>
          <w:sz w:val="28"/>
          <w:szCs w:val="28"/>
          <w:rFonts w:ascii="Calibri" w:cs="Calibri" w:eastAsia="Calibri" w:hAnsi="Calibri"/>
        </w:rPr>
        <w:t xml:space="preserve">5.3. Categorias de risco a considerar</w:t>
      </w:r>
    </w:p>
    <w:p>
      <w:pPr>
        <w:pStyle w:val="ListParagraph"/>
        <w:numPr>
          <w:ilvl w:val="0"/>
          <w:numId w:val="1"/>
        </w:numPr>
        <w:spacing w:after="80"/>
      </w:pPr>
      <w:r>
        <w:rPr>
          <w:color w:val="374151"/>
          <w:sz w:val="22"/>
          <w:szCs w:val="22"/>
          <w:rFonts w:ascii="Calibri" w:cs="Calibri" w:eastAsia="Calibri" w:hAnsi="Calibri"/>
        </w:rPr>
        <w:t xml:space="preserve">Ataques externos deliberados — ransomware, phishing, ataques de negação de serviço (DDoS), exploração de vulnerabilidades, comprometimento da cadeia de abastecimento de software (supply chain attacks)</w:t>
      </w:r>
    </w:p>
    <w:p>
      <w:pPr>
        <w:pStyle w:val="ListParagraph"/>
        <w:numPr>
          <w:ilvl w:val="0"/>
          <w:numId w:val="1"/>
        </w:numPr>
        <w:spacing w:after="80"/>
      </w:pPr>
      <w:r>
        <w:rPr>
          <w:color w:val="374151"/>
          <w:sz w:val="22"/>
          <w:szCs w:val="22"/>
          <w:rFonts w:ascii="Calibri" w:cs="Calibri" w:eastAsia="Calibri" w:hAnsi="Calibri"/>
        </w:rPr>
        <w:t xml:space="preserve">Erros e acidentes internos — erros de configuração, eliminação acidental de dados, falhas humanas no cumprimento de procedimentos de segurança, formação insuficiente</w:t>
      </w:r>
    </w:p>
    <w:p>
      <w:pPr>
        <w:pStyle w:val="ListParagraph"/>
        <w:numPr>
          <w:ilvl w:val="0"/>
          <w:numId w:val="1"/>
        </w:numPr>
        <w:spacing w:after="80"/>
      </w:pPr>
      <w:r>
        <w:rPr>
          <w:color w:val="374151"/>
          <w:sz w:val="22"/>
          <w:szCs w:val="22"/>
          <w:rFonts w:ascii="Calibri" w:cs="Calibri" w:eastAsia="Calibri" w:hAnsi="Calibri"/>
        </w:rPr>
        <w:t xml:space="preserve">Ameaças internas maliciosas — sabotagem, fuga de informação, abuso de privilégios por colaboradores ou ex-colaboradores</w:t>
      </w:r>
    </w:p>
    <w:p>
      <w:pPr>
        <w:pStyle w:val="ListParagraph"/>
        <w:numPr>
          <w:ilvl w:val="0"/>
          <w:numId w:val="1"/>
        </w:numPr>
        <w:spacing w:after="80"/>
      </w:pPr>
      <w:r>
        <w:rPr>
          <w:color w:val="374151"/>
          <w:sz w:val="22"/>
          <w:szCs w:val="22"/>
          <w:rFonts w:ascii="Calibri" w:cs="Calibri" w:eastAsia="Calibri" w:hAnsi="Calibri"/>
        </w:rPr>
        <w:t xml:space="preserve">Falhas de sistemas e infraestrutura — falhas de hardware, bugs de software, indisponibilidade de serviços de cloud, problemas de conectividade</w:t>
      </w:r>
    </w:p>
    <w:p>
      <w:pPr>
        <w:pStyle w:val="ListParagraph"/>
        <w:numPr>
          <w:ilvl w:val="0"/>
          <w:numId w:val="1"/>
        </w:numPr>
        <w:spacing w:after="80"/>
      </w:pPr>
      <w:r>
        <w:rPr>
          <w:color w:val="374151"/>
          <w:sz w:val="22"/>
          <w:szCs w:val="22"/>
          <w:rFonts w:ascii="Calibri" w:cs="Calibri" w:eastAsia="Calibri" w:hAnsi="Calibri"/>
        </w:rPr>
        <w:t xml:space="preserve">Eventos físicos e ambientais — catástrofes naturais, falhas de energia, incêndio, inundação, falhas de infraestrutura física (arrefecimento, energia)</w:t>
      </w:r>
    </w:p>
    <w:p>
      <w:pPr>
        <w:pStyle w:val="ListParagraph"/>
        <w:numPr>
          <w:ilvl w:val="0"/>
          <w:numId w:val="1"/>
        </w:numPr>
        <w:spacing w:after="80"/>
      </w:pPr>
      <w:r>
        <w:rPr>
          <w:color w:val="374151"/>
          <w:sz w:val="22"/>
          <w:szCs w:val="22"/>
          <w:rFonts w:ascii="Calibri" w:cs="Calibri" w:eastAsia="Calibri" w:hAnsi="Calibri"/>
        </w:rPr>
        <w:t xml:space="preserve">Riscos da cadeia de abastecimento — comprometimento de fornecedores críticos de TIC, serviços de cloud ou outsourcing de TI; vulnerabilidades em componentes de software de terceiros</w:t>
      </w:r>
    </w:p>
    <w:p>
      <w:pPr>
        <w:pStyle w:val="Heading1"/>
        <w:spacing w:before="400" w:after="200"/>
      </w:pPr>
      <w:r>
        <w:rPr>
          <w:b/>
          <w:bCs/>
          <w:color w:val="1e3a8a"/>
          <w:sz w:val="32"/>
          <w:szCs w:val="32"/>
          <w:rFonts w:ascii="Calibri" w:cs="Calibri" w:eastAsia="Calibri" w:hAnsi="Calibri"/>
        </w:rPr>
        <w:t xml:space="preserve">6. Critérios de avaliação</w:t>
      </w:r>
    </w:p>
    <w:p>
      <w:pPr>
        <w:spacing w:after="160"/>
      </w:pPr>
      <w:r>
        <w:rPr>
          <w:color w:val="374151"/>
          <w:sz w:val="22"/>
          <w:szCs w:val="22"/>
          <w:rFonts w:ascii="Calibri" w:cs="Calibri" w:eastAsia="Calibri" w:hAnsi="Calibri"/>
        </w:rPr>
        <w:t xml:space="preserve">Os critérios de avaliação definem as escalas e as dimensões utilizadas para quantificar a probabilidade e o impacto de cada risco identificado, garantindo a consistência e a comparabilidade dos resultados da avaliação.</w:t>
      </w:r>
    </w:p>
    <w:p>
      <w:pPr>
        <w:pStyle w:val="Heading2"/>
        <w:spacing w:before="320" w:after="160"/>
      </w:pPr>
      <w:r>
        <w:rPr>
          <w:b/>
          <w:bCs/>
          <w:color w:val="1e3a8a"/>
          <w:sz w:val="28"/>
          <w:szCs w:val="28"/>
          <w:rFonts w:ascii="Calibri" w:cs="Calibri" w:eastAsia="Calibri" w:hAnsi="Calibri"/>
        </w:rPr>
        <w:t xml:space="preserve">6.1. Escalas de probabilidade e impacto</w:t>
      </w:r>
    </w:p>
    <w:p>
      <w:pPr>
        <w:spacing w:after="160"/>
      </w:pPr>
      <w:r>
        <w:rPr>
          <w:color w:val="374151"/>
          <w:sz w:val="22"/>
          <w:szCs w:val="22"/>
          <w:rFonts w:ascii="Calibri" w:cs="Calibri" w:eastAsia="Calibri" w:hAnsi="Calibri"/>
        </w:rPr>
        <w:t xml:space="preserve">A avaliação utiliza escalas numéricas de 1 a 5 para a probabilidade e para o impacto, conforme descrito na tabela seguinte: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rPr>
          <w:tblHeader/>
        </w:trPr>
        <w:tc>
          <w:tcPr>
            <w:shd w:color="1e3a8a" w:val="solid"/>
            <w:vAlign w:val="center"/>
          </w:tcPr>
          <w:p>
            <w:pPr>
              <w:jc w:val="center"/>
            </w:pPr>
            <w:r>
              <w:rPr>
                <w:b/>
                <w:bCs/>
                <w:color w:val="ffffff"/>
                <w:sz w:val="22"/>
                <w:szCs w:val="22"/>
                <w:rFonts w:ascii="Calibri" w:cs="Calibri" w:eastAsia="Calibri" w:hAnsi="Calibri"/>
              </w:rPr>
              <w:t xml:space="preserve">Nível</w:t>
            </w:r>
          </w:p>
        </w:tc>
        <w:tc>
          <w:tcPr>
            <w:shd w:color="1e3a8a" w:val="solid"/>
            <w:vAlign w:val="center"/>
          </w:tcPr>
          <w:p>
            <w:pPr>
              <w:jc w:val="center"/>
            </w:pPr>
            <w:r>
              <w:rPr>
                <w:b/>
                <w:bCs/>
                <w:color w:val="ffffff"/>
                <w:sz w:val="22"/>
                <w:szCs w:val="22"/>
                <w:rFonts w:ascii="Calibri" w:cs="Calibri" w:eastAsia="Calibri" w:hAnsi="Calibri"/>
              </w:rPr>
              <w:t xml:space="preserve">Probabilidade</w:t>
            </w:r>
          </w:p>
        </w:tc>
        <w:tc>
          <w:tcPr>
            <w:shd w:color="1e3a8a" w:val="solid"/>
            <w:vAlign w:val="center"/>
          </w:tcPr>
          <w:p>
            <w:pPr>
              <w:jc w:val="center"/>
            </w:pPr>
            <w:r>
              <w:rPr>
                <w:b/>
                <w:bCs/>
                <w:color w:val="ffffff"/>
                <w:sz w:val="22"/>
                <w:szCs w:val="22"/>
                <w:rFonts w:ascii="Calibri" w:cs="Calibri" w:eastAsia="Calibri" w:hAnsi="Calibri"/>
              </w:rPr>
              <w:t xml:space="preserve">Descrição da probabilidade</w:t>
            </w:r>
          </w:p>
        </w:tc>
        <w:tc>
          <w:tcPr>
            <w:shd w:color="1e3a8a" w:val="solid"/>
            <w:vAlign w:val="center"/>
          </w:tcPr>
          <w:p>
            <w:pPr>
              <w:jc w:val="center"/>
            </w:pPr>
            <w:r>
              <w:rPr>
                <w:b/>
                <w:bCs/>
                <w:color w:val="ffffff"/>
                <w:sz w:val="22"/>
                <w:szCs w:val="22"/>
                <w:rFonts w:ascii="Calibri" w:cs="Calibri" w:eastAsia="Calibri" w:hAnsi="Calibri"/>
              </w:rPr>
              <w:t xml:space="preserve">Impacto</w:t>
            </w:r>
          </w:p>
        </w:tc>
        <w:tc>
          <w:tcPr>
            <w:shd w:color="1e3a8a" w:val="solid"/>
            <w:vAlign w:val="center"/>
          </w:tcPr>
          <w:p>
            <w:pPr>
              <w:jc w:val="center"/>
            </w:pPr>
            <w:r>
              <w:rPr>
                <w:b/>
                <w:bCs/>
                <w:color w:val="ffffff"/>
                <w:sz w:val="22"/>
                <w:szCs w:val="22"/>
                <w:rFonts w:ascii="Calibri" w:cs="Calibri" w:eastAsia="Calibri" w:hAnsi="Calibri"/>
              </w:rPr>
              <w:t xml:space="preserve">Descrição do impacto</w:t>
            </w:r>
          </w:p>
        </w:tc>
      </w:tr>
      <w:tr>
        <w:tc>
          <w:tcPr>
            <w:shd w:color="16a34a" w:val="solid"/>
            <w:vAlign w:val="center"/>
          </w:tcPr>
          <w:p>
            <w:pPr>
              <w:jc w:val="center"/>
            </w:pPr>
            <w:r>
              <w:rPr>
                <w:b/>
                <w:bCs/>
                <w:color w:val="ffffff"/>
                <w:sz w:val="22"/>
                <w:szCs w:val="22"/>
                <w:rFonts w:ascii="Calibri" w:cs="Calibri" w:eastAsia="Calibri" w:hAnsi="Calibri"/>
              </w:rPr>
              <w:t xml:space="preserve">1</w:t>
            </w:r>
          </w:p>
        </w:tc>
        <w:tc>
          <w:tcPr>
            <w:vAlign w:val="center"/>
          </w:tcPr>
          <w:p>
            <w:r>
              <w:rPr>
                <w:b/>
                <w:bCs/>
                <w:color w:val="374151"/>
                <w:sz w:val="22"/>
                <w:szCs w:val="22"/>
                <w:rFonts w:ascii="Calibri" w:cs="Calibri" w:eastAsia="Calibri" w:hAnsi="Calibri"/>
              </w:rPr>
              <w:t xml:space="preserve">Muito baixa</w:t>
            </w:r>
          </w:p>
        </w:tc>
        <w:tc>
          <w:tcPr>
            <w:vAlign w:val="center"/>
          </w:tcPr>
          <w:p>
            <w:r>
              <w:rPr>
                <w:b w:val="false"/>
                <w:bCs w:val="false"/>
                <w:color w:val="374151"/>
                <w:sz w:val="22"/>
                <w:szCs w:val="22"/>
                <w:rFonts w:ascii="Calibri" w:cs="Calibri" w:eastAsia="Calibri" w:hAnsi="Calibri"/>
              </w:rPr>
              <w:t xml:space="preserve">Ocorrência improvável; histórico sem registos na organização; ameaça pouco conhecida no setor</w:t>
            </w:r>
          </w:p>
        </w:tc>
        <w:tc>
          <w:tcPr>
            <w:vAlign w:val="center"/>
          </w:tcPr>
          <w:p>
            <w:r>
              <w:rPr>
                <w:b/>
                <w:bCs/>
                <w:color w:val="374151"/>
                <w:sz w:val="22"/>
                <w:szCs w:val="22"/>
                <w:rFonts w:ascii="Calibri" w:cs="Calibri" w:eastAsia="Calibri" w:hAnsi="Calibri"/>
              </w:rPr>
              <w:t xml:space="preserve">Muito baixo</w:t>
            </w:r>
          </w:p>
        </w:tc>
        <w:tc>
          <w:tcPr>
            <w:vAlign w:val="center"/>
          </w:tcPr>
          <w:p>
            <w:r>
              <w:rPr>
                <w:b w:val="false"/>
                <w:bCs w:val="false"/>
                <w:color w:val="374151"/>
                <w:sz w:val="22"/>
                <w:szCs w:val="22"/>
                <w:rFonts w:ascii="Calibri" w:cs="Calibri" w:eastAsia="Calibri" w:hAnsi="Calibri"/>
              </w:rPr>
              <w:t xml:space="preserve">Impacto negligenciável nas operações; sem consequências financeiras ou reputacionais relevantes</w:t>
            </w:r>
          </w:p>
        </w:tc>
      </w:tr>
      <w:tr>
        <w:tc>
          <w:tcPr>
            <w:shd w:color="16a34a" w:val="solid"/>
            <w:vAlign w:val="center"/>
          </w:tcPr>
          <w:p>
            <w:pPr>
              <w:jc w:val="center"/>
            </w:pPr>
            <w:r>
              <w:rPr>
                <w:b/>
                <w:bCs/>
                <w:color w:val="ffffff"/>
                <w:sz w:val="22"/>
                <w:szCs w:val="22"/>
                <w:rFonts w:ascii="Calibri" w:cs="Calibri" w:eastAsia="Calibri" w:hAnsi="Calibri"/>
              </w:rPr>
              <w:t xml:space="preserve">2</w:t>
            </w:r>
          </w:p>
        </w:tc>
        <w:tc>
          <w:tcPr>
            <w:shd w:color="f3f4f6" w:val="solid"/>
            <w:vAlign w:val="center"/>
          </w:tcPr>
          <w:p>
            <w:r>
              <w:rPr>
                <w:b/>
                <w:bCs/>
                <w:color w:val="374151"/>
                <w:sz w:val="22"/>
                <w:szCs w:val="22"/>
                <w:rFonts w:ascii="Calibri" w:cs="Calibri" w:eastAsia="Calibri" w:hAnsi="Calibri"/>
              </w:rPr>
              <w:t xml:space="preserve">Baixa</w:t>
            </w:r>
          </w:p>
        </w:tc>
        <w:tc>
          <w:tcPr>
            <w:shd w:color="f3f4f6" w:val="solid"/>
            <w:vAlign w:val="center"/>
          </w:tcPr>
          <w:p>
            <w:r>
              <w:rPr>
                <w:b w:val="false"/>
                <w:bCs w:val="false"/>
                <w:color w:val="374151"/>
                <w:sz w:val="22"/>
                <w:szCs w:val="22"/>
                <w:rFonts w:ascii="Calibri" w:cs="Calibri" w:eastAsia="Calibri" w:hAnsi="Calibri"/>
              </w:rPr>
              <w:t xml:space="preserve">Ocorrência rara; registada pontualmente em setores semelhantes; ameaça conhecida mas com exploração difícil</w:t>
            </w:r>
          </w:p>
        </w:tc>
        <w:tc>
          <w:tcPr>
            <w:shd w:color="f3f4f6" w:val="solid"/>
            <w:vAlign w:val="center"/>
          </w:tcPr>
          <w:p>
            <w:r>
              <w:rPr>
                <w:b/>
                <w:bCs/>
                <w:color w:val="374151"/>
                <w:sz w:val="22"/>
                <w:szCs w:val="22"/>
                <w:rFonts w:ascii="Calibri" w:cs="Calibri" w:eastAsia="Calibri" w:hAnsi="Calibri"/>
              </w:rPr>
              <w:t xml:space="preserve">Baixo</w:t>
            </w:r>
          </w:p>
        </w:tc>
        <w:tc>
          <w:tcPr>
            <w:shd w:color="f3f4f6" w:val="solid"/>
            <w:vAlign w:val="center"/>
          </w:tcPr>
          <w:p>
            <w:r>
              <w:rPr>
                <w:b w:val="false"/>
                <w:bCs w:val="false"/>
                <w:color w:val="374151"/>
                <w:sz w:val="22"/>
                <w:szCs w:val="22"/>
                <w:rFonts w:ascii="Calibri" w:cs="Calibri" w:eastAsia="Calibri" w:hAnsi="Calibri"/>
              </w:rPr>
              <w:t xml:space="preserve">Impacto limitado; perturbação operacional de curta duração; impacto financeiro inferior a 10 000 EUR</w:t>
            </w:r>
          </w:p>
        </w:tc>
      </w:tr>
      <w:tr>
        <w:tc>
          <w:tcPr>
            <w:shd w:color="eab308" w:val="solid"/>
            <w:vAlign w:val="center"/>
          </w:tcPr>
          <w:p>
            <w:pPr>
              <w:jc w:val="center"/>
            </w:pPr>
            <w:r>
              <w:rPr>
                <w:b/>
                <w:bCs/>
                <w:color w:val="ffffff"/>
                <w:sz w:val="22"/>
                <w:szCs w:val="22"/>
                <w:rFonts w:ascii="Calibri" w:cs="Calibri" w:eastAsia="Calibri" w:hAnsi="Calibri"/>
              </w:rPr>
              <w:t xml:space="preserve">3</w:t>
            </w:r>
          </w:p>
        </w:tc>
        <w:tc>
          <w:tcPr>
            <w:vAlign w:val="center"/>
          </w:tcPr>
          <w:p>
            <w:r>
              <w:rPr>
                <w:b/>
                <w:bCs/>
                <w:color w:val="374151"/>
                <w:sz w:val="22"/>
                <w:szCs w:val="22"/>
                <w:rFonts w:ascii="Calibri" w:cs="Calibri" w:eastAsia="Calibri" w:hAnsi="Calibri"/>
              </w:rPr>
              <w:t xml:space="preserve">Média</w:t>
            </w:r>
          </w:p>
        </w:tc>
        <w:tc>
          <w:tcPr>
            <w:vAlign w:val="center"/>
          </w:tcPr>
          <w:p>
            <w:r>
              <w:rPr>
                <w:b w:val="false"/>
                <w:bCs w:val="false"/>
                <w:color w:val="374151"/>
                <w:sz w:val="22"/>
                <w:szCs w:val="22"/>
                <w:rFonts w:ascii="Calibri" w:cs="Calibri" w:eastAsia="Calibri" w:hAnsi="Calibri"/>
              </w:rPr>
              <w:t xml:space="preserve">Ocorrência possível; registada em organizações do setor nos últimos 3 anos; ameaça com exploração moderada</w:t>
            </w:r>
          </w:p>
        </w:tc>
        <w:tc>
          <w:tcPr>
            <w:vAlign w:val="center"/>
          </w:tcPr>
          <w:p>
            <w:r>
              <w:rPr>
                <w:b/>
                <w:bCs/>
                <w:color w:val="374151"/>
                <w:sz w:val="22"/>
                <w:szCs w:val="22"/>
                <w:rFonts w:ascii="Calibri" w:cs="Calibri" w:eastAsia="Calibri" w:hAnsi="Calibri"/>
              </w:rPr>
              <w:t xml:space="preserve">Médio</w:t>
            </w:r>
          </w:p>
        </w:tc>
        <w:tc>
          <w:tcPr>
            <w:vAlign w:val="center"/>
          </w:tcPr>
          <w:p>
            <w:r>
              <w:rPr>
                <w:b w:val="false"/>
                <w:bCs w:val="false"/>
                <w:color w:val="374151"/>
                <w:sz w:val="22"/>
                <w:szCs w:val="22"/>
                <w:rFonts w:ascii="Calibri" w:cs="Calibri" w:eastAsia="Calibri" w:hAnsi="Calibri"/>
              </w:rPr>
              <w:t xml:space="preserve">Impacto significativo; interrupção de serviços não críticos; impacto financeiro entre 10 000 e 100 000 EUR</w:t>
            </w:r>
          </w:p>
        </w:tc>
      </w:tr>
      <w:tr>
        <w:tc>
          <w:tcPr>
            <w:shd w:color="f97316" w:val="solid"/>
            <w:vAlign w:val="center"/>
          </w:tcPr>
          <w:p>
            <w:pPr>
              <w:jc w:val="center"/>
            </w:pPr>
            <w:r>
              <w:rPr>
                <w:b/>
                <w:bCs/>
                <w:color w:val="ffffff"/>
                <w:sz w:val="22"/>
                <w:szCs w:val="22"/>
                <w:rFonts w:ascii="Calibri" w:cs="Calibri" w:eastAsia="Calibri" w:hAnsi="Calibri"/>
              </w:rPr>
              <w:t xml:space="preserve">4</w:t>
            </w:r>
          </w:p>
        </w:tc>
        <w:tc>
          <w:tcPr>
            <w:shd w:color="f3f4f6" w:val="solid"/>
            <w:vAlign w:val="center"/>
          </w:tcPr>
          <w:p>
            <w:r>
              <w:rPr>
                <w:b/>
                <w:bCs/>
                <w:color w:val="374151"/>
                <w:sz w:val="22"/>
                <w:szCs w:val="22"/>
                <w:rFonts w:ascii="Calibri" w:cs="Calibri" w:eastAsia="Calibri" w:hAnsi="Calibri"/>
              </w:rPr>
              <w:t xml:space="preserve">Alta</w:t>
            </w:r>
          </w:p>
        </w:tc>
        <w:tc>
          <w:tcPr>
            <w:shd w:color="f3f4f6" w:val="solid"/>
            <w:vAlign w:val="center"/>
          </w:tcPr>
          <w:p>
            <w:r>
              <w:rPr>
                <w:b w:val="false"/>
                <w:bCs w:val="false"/>
                <w:color w:val="374151"/>
                <w:sz w:val="22"/>
                <w:szCs w:val="22"/>
                <w:rFonts w:ascii="Calibri" w:cs="Calibri" w:eastAsia="Calibri" w:hAnsi="Calibri"/>
              </w:rPr>
              <w:t xml:space="preserve">Ocorrência provável; ameaça ativa e frequentemente explorada no setor; histórico de tentativas registadas</w:t>
            </w:r>
          </w:p>
        </w:tc>
        <w:tc>
          <w:tcPr>
            <w:shd w:color="f3f4f6" w:val="solid"/>
            <w:vAlign w:val="center"/>
          </w:tcPr>
          <w:p>
            <w:r>
              <w:rPr>
                <w:b/>
                <w:bCs/>
                <w:color w:val="374151"/>
                <w:sz w:val="22"/>
                <w:szCs w:val="22"/>
                <w:rFonts w:ascii="Calibri" w:cs="Calibri" w:eastAsia="Calibri" w:hAnsi="Calibri"/>
              </w:rPr>
              <w:t xml:space="preserve">Alto</w:t>
            </w:r>
          </w:p>
        </w:tc>
        <w:tc>
          <w:tcPr>
            <w:shd w:color="f3f4f6" w:val="solid"/>
            <w:vAlign w:val="center"/>
          </w:tcPr>
          <w:p>
            <w:r>
              <w:rPr>
                <w:b w:val="false"/>
                <w:bCs w:val="false"/>
                <w:color w:val="374151"/>
                <w:sz w:val="22"/>
                <w:szCs w:val="22"/>
                <w:rFonts w:ascii="Calibri" w:cs="Calibri" w:eastAsia="Calibri" w:hAnsi="Calibri"/>
              </w:rPr>
              <w:t xml:space="preserve">Impacto grave; interrupção de serviços críticos; impacto financeiro entre 100 000 e 1 000 000 EUR</w:t>
            </w:r>
          </w:p>
        </w:tc>
      </w:tr>
      <w:tr>
        <w:tc>
          <w:tcPr>
            <w:shd w:color="dc2626" w:val="solid"/>
            <w:vAlign w:val="center"/>
          </w:tcPr>
          <w:p>
            <w:pPr>
              <w:jc w:val="center"/>
            </w:pPr>
            <w:r>
              <w:rPr>
                <w:b/>
                <w:bCs/>
                <w:color w:val="ffffff"/>
                <w:sz w:val="22"/>
                <w:szCs w:val="22"/>
                <w:rFonts w:ascii="Calibri" w:cs="Calibri" w:eastAsia="Calibri" w:hAnsi="Calibri"/>
              </w:rPr>
              <w:t xml:space="preserve">5</w:t>
            </w:r>
          </w:p>
        </w:tc>
        <w:tc>
          <w:tcPr>
            <w:vAlign w:val="center"/>
          </w:tcPr>
          <w:p>
            <w:r>
              <w:rPr>
                <w:b/>
                <w:bCs/>
                <w:color w:val="374151"/>
                <w:sz w:val="22"/>
                <w:szCs w:val="22"/>
                <w:rFonts w:ascii="Calibri" w:cs="Calibri" w:eastAsia="Calibri" w:hAnsi="Calibri"/>
              </w:rPr>
              <w:t xml:space="preserve">Muito alta</w:t>
            </w:r>
          </w:p>
        </w:tc>
        <w:tc>
          <w:tcPr>
            <w:vAlign w:val="center"/>
          </w:tcPr>
          <w:p>
            <w:r>
              <w:rPr>
                <w:b w:val="false"/>
                <w:bCs w:val="false"/>
                <w:color w:val="374151"/>
                <w:sz w:val="22"/>
                <w:szCs w:val="22"/>
                <w:rFonts w:ascii="Calibri" w:cs="Calibri" w:eastAsia="Calibri" w:hAnsi="Calibri"/>
              </w:rPr>
              <w:t xml:space="preserve">Ocorrência quase certa; ameaça altamente ativa; vulnerabilidade conhecida e amplamente explorada</w:t>
            </w:r>
          </w:p>
        </w:tc>
        <w:tc>
          <w:tcPr>
            <w:vAlign w:val="center"/>
          </w:tcPr>
          <w:p>
            <w:r>
              <w:rPr>
                <w:b/>
                <w:bCs/>
                <w:color w:val="374151"/>
                <w:sz w:val="22"/>
                <w:szCs w:val="22"/>
                <w:rFonts w:ascii="Calibri" w:cs="Calibri" w:eastAsia="Calibri" w:hAnsi="Calibri"/>
              </w:rPr>
              <w:t xml:space="preserve">Muito alto</w:t>
            </w:r>
          </w:p>
        </w:tc>
        <w:tc>
          <w:tcPr>
            <w:vAlign w:val="center"/>
          </w:tcPr>
          <w:p>
            <w:r>
              <w:rPr>
                <w:b w:val="false"/>
                <w:bCs w:val="false"/>
                <w:color w:val="374151"/>
                <w:sz w:val="22"/>
                <w:szCs w:val="22"/>
                <w:rFonts w:ascii="Calibri" w:cs="Calibri" w:eastAsia="Calibri" w:hAnsi="Calibri"/>
              </w:rPr>
              <w:t xml:space="preserve">Impacto catastrófico; falha de serviços essenciais; impacto financeiro superior a 1 000 000 EUR; coimas regulatórias</w:t>
            </w:r>
          </w:p>
        </w:tc>
      </w:tr>
    </w:tbl>
    <w:p>
      <w:pPr>
        <w:spacing w:after="160"/>
      </w:pPr>
    </w:p>
    <w:p>
      <w:pPr>
        <w:pStyle w:val="Heading2"/>
        <w:spacing w:before="320" w:after="160"/>
      </w:pPr>
      <w:r>
        <w:rPr>
          <w:b/>
          <w:bCs/>
          <w:color w:val="1e3a8a"/>
          <w:sz w:val="28"/>
          <w:szCs w:val="28"/>
          <w:rFonts w:ascii="Calibri" w:cs="Calibri" w:eastAsia="Calibri" w:hAnsi="Calibri"/>
        </w:rPr>
        <w:t xml:space="preserve">6.2. Dimensões de impacto a considerar</w:t>
      </w:r>
    </w:p>
    <w:p>
      <w:pPr>
        <w:spacing w:after="160"/>
      </w:pPr>
      <w:r>
        <w:rPr>
          <w:color w:val="374151"/>
          <w:sz w:val="22"/>
          <w:szCs w:val="22"/>
          <w:rFonts w:ascii="Calibri" w:cs="Calibri" w:eastAsia="Calibri" w:hAnsi="Calibri"/>
        </w:rPr>
        <w:t xml:space="preserve">O impacto de cada risco deve ser avaliado nas seguintes dimensões, utilizando a escala de 1 a 5 para cada dimensão. O valor final de impacto corresponde ao valor mais elevado entre as dimensões avaliadas (abordagem conservadora):</w:t>
      </w:r>
    </w:p>
    <w:p>
      <w:pPr>
        <w:pStyle w:val="ListParagraph"/>
        <w:numPr>
          <w:ilvl w:val="0"/>
          <w:numId w:val="1"/>
        </w:numPr>
        <w:spacing w:after="80"/>
      </w:pPr>
      <w:r>
        <w:rPr>
          <w:color w:val="374151"/>
          <w:sz w:val="22"/>
          <w:szCs w:val="22"/>
          <w:rFonts w:ascii="Calibri" w:cs="Calibri" w:eastAsia="Calibri" w:hAnsi="Calibri"/>
        </w:rPr>
        <w:t xml:space="preserve">Impacto operacional — grau de perturbação das operações e dos serviços prestados; considera a duração da interrupção, o número de sistemas afetados e a recuperabilidade</w:t>
      </w:r>
    </w:p>
    <w:p>
      <w:pPr>
        <w:pStyle w:val="ListParagraph"/>
        <w:numPr>
          <w:ilvl w:val="0"/>
          <w:numId w:val="1"/>
        </w:numPr>
        <w:spacing w:after="80"/>
      </w:pPr>
      <w:r>
        <w:rPr>
          <w:color w:val="374151"/>
          <w:sz w:val="22"/>
          <w:szCs w:val="22"/>
          <w:rFonts w:ascii="Calibri" w:cs="Calibri" w:eastAsia="Calibri" w:hAnsi="Calibri"/>
        </w:rPr>
        <w:t xml:space="preserve">Impacto financeiro — perdas financeiras diretas (custos de resposta ao incidente, custos de recuperação, pagamento de resgates) e indiretas (perda de negócio, penalizações contratuais, coimas regulatórias)</w:t>
      </w:r>
    </w:p>
    <w:p>
      <w:pPr>
        <w:pStyle w:val="ListParagraph"/>
        <w:numPr>
          <w:ilvl w:val="0"/>
          <w:numId w:val="1"/>
        </w:numPr>
        <w:spacing w:after="80"/>
      </w:pPr>
      <w:r>
        <w:rPr>
          <w:color w:val="374151"/>
          <w:sz w:val="22"/>
          <w:szCs w:val="22"/>
          <w:rFonts w:ascii="Calibri" w:cs="Calibri" w:eastAsia="Calibri" w:hAnsi="Calibri"/>
        </w:rPr>
        <w:t xml:space="preserve">Impacto reputacional — dano à imagem e confiança da organização junto de clientes, parceiros, reguladores e do público em geral; considera a probabilidade de cobertura mediática e o impacto na captação e retenção de clientes</w:t>
      </w:r>
    </w:p>
    <w:p>
      <w:pPr>
        <w:pStyle w:val="ListParagraph"/>
        <w:numPr>
          <w:ilvl w:val="0"/>
          <w:numId w:val="1"/>
        </w:numPr>
        <w:spacing w:after="80"/>
      </w:pPr>
      <w:r>
        <w:rPr>
          <w:color w:val="374151"/>
          <w:sz w:val="22"/>
          <w:szCs w:val="22"/>
          <w:rFonts w:ascii="Calibri" w:cs="Calibri" w:eastAsia="Calibri" w:hAnsi="Calibri"/>
        </w:rPr>
        <w:t xml:space="preserve">Impacto legal e regulatório — exposição a sanções por incumprimento de obrigações legais (DL 125/2025, RGPD) ou contratuais; coimas, responsabilidade civil, processos judiciais</w:t>
      </w:r>
    </w:p>
    <w:p>
      <w:pPr>
        <w:pStyle w:val="ListParagraph"/>
        <w:numPr>
          <w:ilvl w:val="0"/>
          <w:numId w:val="1"/>
        </w:numPr>
        <w:spacing w:after="80"/>
      </w:pPr>
      <w:r>
        <w:rPr>
          <w:color w:val="374151"/>
          <w:sz w:val="22"/>
          <w:szCs w:val="22"/>
          <w:rFonts w:ascii="Calibri" w:cs="Calibri" w:eastAsia="Calibri" w:hAnsi="Calibri"/>
        </w:rPr>
        <w:t xml:space="preserve">Impacto sobre terceiros — dano causado a outras organizações ou indivíduos como consequência do incidente; particularmente relevante para organizações com funções críticas no setor ou que processem dados pessoais em larga escala</w:t>
      </w:r>
    </w:p>
    <w:p>
      <w:pPr>
        <w:pStyle w:val="Heading1"/>
        <w:spacing w:before="400" w:after="200"/>
      </w:pPr>
      <w:r>
        <w:rPr>
          <w:b/>
          <w:bCs/>
          <w:color w:val="1e3a8a"/>
          <w:sz w:val="32"/>
          <w:szCs w:val="32"/>
          <w:rFonts w:ascii="Calibri" w:cs="Calibri" w:eastAsia="Calibri" w:hAnsi="Calibri"/>
        </w:rPr>
        <w:t xml:space="preserve">7. Cálculo e classificação do risco</w:t>
      </w:r>
    </w:p>
    <w:p>
      <w:pPr>
        <w:spacing w:after="160"/>
      </w:pPr>
      <w:r>
        <w:rPr>
          <w:color w:val="374151"/>
          <w:sz w:val="22"/>
          <w:szCs w:val="22"/>
          <w:rFonts w:ascii="Calibri" w:cs="Calibri" w:eastAsia="Calibri" w:hAnsi="Calibri"/>
        </w:rPr>
        <w:t xml:space="preserve">O nível de risco é calculado pela multiplicação da probabilidade pelo impacto, resultando numa pontuação de risco entre 1 e 25. Este valor é então mapeado numa classificação qualitativa que determina a urgência e a natureza do tratamento requerido.</w:t>
      </w:r>
    </w:p>
    <w:p>
      <w:pPr>
        <w:pStyle w:val="Heading2"/>
        <w:spacing w:before="320" w:after="160"/>
      </w:pPr>
      <w:r>
        <w:rPr>
          <w:b/>
          <w:bCs/>
          <w:color w:val="1e3a8a"/>
          <w:sz w:val="28"/>
          <w:szCs w:val="28"/>
          <w:rFonts w:ascii="Calibri" w:cs="Calibri" w:eastAsia="Calibri" w:hAnsi="Calibri"/>
        </w:rPr>
        <w:t xml:space="preserve">7.1. Fórmula de cálculo</w:t>
      </w:r>
    </w:p>
    <w:p>
      <w:pPr>
        <w:shd w:color="dbeafe" w:val="solid"/>
        <w:spacing w:before="160" w:after="160"/>
        <w:ind w:left="360" w:right="360"/>
      </w:pPr>
      <w:r>
        <w:rPr>
          <w:i/>
          <w:iCs/>
          <w:color w:val="1e3a8a"/>
          <w:sz w:val="22"/>
          <w:szCs w:val="22"/>
          <w:rFonts w:ascii="Calibri" w:cs="Calibri" w:eastAsia="Calibri" w:hAnsi="Calibri"/>
        </w:rPr>
        <w:t xml:space="preserve">Nível de risco = Probabilidade (1–5) × Impacto (1–5)
Resultado: valor entre 1 e 25
Baixo: 1–5 | Médio: 6–11 | Alto: 12–19 | Muito alto: 20–25</w:t>
      </w:r>
    </w:p>
    <w:p>
      <w:pPr>
        <w:pStyle w:val="Heading2"/>
        <w:spacing w:before="320" w:after="160"/>
      </w:pPr>
      <w:r>
        <w:rPr>
          <w:b/>
          <w:bCs/>
          <w:color w:val="1e3a8a"/>
          <w:sz w:val="28"/>
          <w:szCs w:val="28"/>
          <w:rFonts w:ascii="Calibri" w:cs="Calibri" w:eastAsia="Calibri" w:hAnsi="Calibri"/>
        </w:rPr>
        <w:t xml:space="preserve">7.2. Matriz de risco 5×5</w:t>
      </w:r>
    </w:p>
    <w:p>
      <w:pPr>
        <w:spacing w:after="160"/>
      </w:pPr>
      <w:r>
        <w:rPr>
          <w:color w:val="374151"/>
          <w:sz w:val="22"/>
          <w:szCs w:val="22"/>
          <w:rFonts w:ascii="Calibri" w:cs="Calibri" w:eastAsia="Calibri" w:hAnsi="Calibri"/>
        </w:rPr>
        <w:t xml:space="preserve">A matriz seguinte representa as combinações possíveis de probabilidade e impacto, com o nível de risco resultante e a sua classificação:</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tblGrid>
      <w:tr>
        <w:trPr>
          <w:tblHeader/>
        </w:trPr>
        <w:tc>
          <w:tcPr>
            <w:tcW w:type="pct" w:w="20%"/>
            <w:shd w:color="1e3a8a" w:val="solid"/>
            <w:vAlign w:val="center"/>
          </w:tcPr>
          <w:p>
            <w:pPr>
              <w:jc w:val="center"/>
            </w:pPr>
            <w:r>
              <w:rPr>
                <w:b/>
                <w:bCs/>
                <w:color w:val="ffffff"/>
                <w:sz w:val="22"/>
                <w:szCs w:val="22"/>
                <w:rFonts w:ascii="Calibri" w:cs="Calibri" w:eastAsia="Calibri" w:hAnsi="Calibri"/>
              </w:rPr>
              <w:t xml:space="preserve">Probabilidade \ Impacto</w:t>
            </w:r>
          </w:p>
        </w:tc>
        <w:tc>
          <w:tcPr>
            <w:tcW w:type="pct" w:w="16%"/>
            <w:shd w:color="1e3a8a" w:val="solid"/>
            <w:vAlign w:val="center"/>
          </w:tcPr>
          <w:p>
            <w:pPr>
              <w:jc w:val="center"/>
            </w:pPr>
            <w:r>
              <w:rPr>
                <w:b/>
                <w:bCs/>
                <w:color w:val="ffffff"/>
                <w:sz w:val="22"/>
                <w:szCs w:val="22"/>
                <w:rFonts w:ascii="Calibri" w:cs="Calibri" w:eastAsia="Calibri" w:hAnsi="Calibri"/>
              </w:rPr>
              <w:t xml:space="preserve">1
Muito baixo</w:t>
            </w:r>
          </w:p>
        </w:tc>
        <w:tc>
          <w:tcPr>
            <w:tcW w:type="pct" w:w="16%"/>
            <w:shd w:color="1e3a8a" w:val="solid"/>
            <w:vAlign w:val="center"/>
          </w:tcPr>
          <w:p>
            <w:pPr>
              <w:jc w:val="center"/>
            </w:pPr>
            <w:r>
              <w:rPr>
                <w:b/>
                <w:bCs/>
                <w:color w:val="ffffff"/>
                <w:sz w:val="22"/>
                <w:szCs w:val="22"/>
                <w:rFonts w:ascii="Calibri" w:cs="Calibri" w:eastAsia="Calibri" w:hAnsi="Calibri"/>
              </w:rPr>
              <w:t xml:space="preserve">2
Baixo</w:t>
            </w:r>
          </w:p>
        </w:tc>
        <w:tc>
          <w:tcPr>
            <w:tcW w:type="pct" w:w="16%"/>
            <w:shd w:color="1e3a8a" w:val="solid"/>
            <w:vAlign w:val="center"/>
          </w:tcPr>
          <w:p>
            <w:pPr>
              <w:jc w:val="center"/>
            </w:pPr>
            <w:r>
              <w:rPr>
                <w:b/>
                <w:bCs/>
                <w:color w:val="ffffff"/>
                <w:sz w:val="22"/>
                <w:szCs w:val="22"/>
                <w:rFonts w:ascii="Calibri" w:cs="Calibri" w:eastAsia="Calibri" w:hAnsi="Calibri"/>
              </w:rPr>
              <w:t xml:space="preserve">3
Médio</w:t>
            </w:r>
          </w:p>
        </w:tc>
        <w:tc>
          <w:tcPr>
            <w:tcW w:type="pct" w:w="16%"/>
            <w:shd w:color="1e3a8a" w:val="solid"/>
            <w:vAlign w:val="center"/>
          </w:tcPr>
          <w:p>
            <w:pPr>
              <w:jc w:val="center"/>
            </w:pPr>
            <w:r>
              <w:rPr>
                <w:b/>
                <w:bCs/>
                <w:color w:val="ffffff"/>
                <w:sz w:val="22"/>
                <w:szCs w:val="22"/>
                <w:rFonts w:ascii="Calibri" w:cs="Calibri" w:eastAsia="Calibri" w:hAnsi="Calibri"/>
              </w:rPr>
              <w:t xml:space="preserve">4
Alto</w:t>
            </w:r>
          </w:p>
        </w:tc>
        <w:tc>
          <w:tcPr>
            <w:tcW w:type="pct" w:w="16%"/>
            <w:shd w:color="1e3a8a" w:val="solid"/>
            <w:vAlign w:val="center"/>
          </w:tcPr>
          <w:p>
            <w:pPr>
              <w:jc w:val="center"/>
            </w:pPr>
            <w:r>
              <w:rPr>
                <w:b/>
                <w:bCs/>
                <w:color w:val="ffffff"/>
                <w:sz w:val="22"/>
                <w:szCs w:val="22"/>
                <w:rFonts w:ascii="Calibri" w:cs="Calibri" w:eastAsia="Calibri" w:hAnsi="Calibri"/>
              </w:rPr>
              <w:t xml:space="preserve">5
Muito alto</w:t>
            </w:r>
          </w:p>
        </w:tc>
      </w:tr>
      <w:tr>
        <w:tc>
          <w:tcPr>
            <w:vAlign w:val="center"/>
          </w:tcPr>
          <w:p>
            <w:r>
              <w:rPr>
                <w:b/>
                <w:bCs/>
                <w:color w:val="374151"/>
                <w:sz w:val="22"/>
                <w:szCs w:val="22"/>
                <w:rFonts w:ascii="Calibri" w:cs="Calibri" w:eastAsia="Calibri" w:hAnsi="Calibri"/>
              </w:rPr>
              <w:t xml:space="preserve">5 — Muito alta</w:t>
            </w:r>
          </w:p>
        </w:tc>
        <w:tc>
          <w:tcPr>
            <w:shd w:color="16a34a" w:val="solid"/>
            <w:vAlign w:val="center"/>
          </w:tcPr>
          <w:p>
            <w:pPr>
              <w:jc w:val="center"/>
            </w:pPr>
            <w:r>
              <w:rPr>
                <w:b/>
                <w:bCs/>
                <w:color w:val="ffffff"/>
                <w:sz w:val="22"/>
                <w:szCs w:val="22"/>
                <w:rFonts w:ascii="Calibri" w:cs="Calibri" w:eastAsia="Calibri" w:hAnsi="Calibri"/>
              </w:rPr>
              <w:t xml:space="preserve">5 — Baixo</w:t>
            </w:r>
          </w:p>
        </w:tc>
        <w:tc>
          <w:tcPr>
            <w:shd w:color="eab308" w:val="solid"/>
            <w:vAlign w:val="center"/>
          </w:tcPr>
          <w:p>
            <w:pPr>
              <w:jc w:val="center"/>
            </w:pPr>
            <w:r>
              <w:rPr>
                <w:b/>
                <w:bCs/>
                <w:color w:val="ffffff"/>
                <w:sz w:val="22"/>
                <w:szCs w:val="22"/>
                <w:rFonts w:ascii="Calibri" w:cs="Calibri" w:eastAsia="Calibri" w:hAnsi="Calibri"/>
              </w:rPr>
              <w:t xml:space="preserve">10 — Médio</w:t>
            </w:r>
          </w:p>
        </w:tc>
        <w:tc>
          <w:tcPr>
            <w:shd w:color="f97316" w:val="solid"/>
            <w:vAlign w:val="center"/>
          </w:tcPr>
          <w:p>
            <w:pPr>
              <w:jc w:val="center"/>
            </w:pPr>
            <w:r>
              <w:rPr>
                <w:b/>
                <w:bCs/>
                <w:color w:val="ffffff"/>
                <w:sz w:val="22"/>
                <w:szCs w:val="22"/>
                <w:rFonts w:ascii="Calibri" w:cs="Calibri" w:eastAsia="Calibri" w:hAnsi="Calibri"/>
              </w:rPr>
              <w:t xml:space="preserve">15 — Alto</w:t>
            </w:r>
          </w:p>
        </w:tc>
        <w:tc>
          <w:tcPr>
            <w:shd w:color="dc2626" w:val="solid"/>
            <w:vAlign w:val="center"/>
          </w:tcPr>
          <w:p>
            <w:pPr>
              <w:jc w:val="center"/>
            </w:pPr>
            <w:r>
              <w:rPr>
                <w:b/>
                <w:bCs/>
                <w:color w:val="ffffff"/>
                <w:sz w:val="22"/>
                <w:szCs w:val="22"/>
                <w:rFonts w:ascii="Calibri" w:cs="Calibri" w:eastAsia="Calibri" w:hAnsi="Calibri"/>
              </w:rPr>
              <w:t xml:space="preserve">20 — Muito alto</w:t>
            </w:r>
          </w:p>
        </w:tc>
        <w:tc>
          <w:tcPr>
            <w:shd w:color="dc2626" w:val="solid"/>
            <w:vAlign w:val="center"/>
          </w:tcPr>
          <w:p>
            <w:pPr>
              <w:jc w:val="center"/>
            </w:pPr>
            <w:r>
              <w:rPr>
                <w:b/>
                <w:bCs/>
                <w:color w:val="ffffff"/>
                <w:sz w:val="22"/>
                <w:szCs w:val="22"/>
                <w:rFonts w:ascii="Calibri" w:cs="Calibri" w:eastAsia="Calibri" w:hAnsi="Calibri"/>
              </w:rPr>
              <w:t xml:space="preserve">25 — Muito alto</w:t>
            </w:r>
          </w:p>
        </w:tc>
      </w:tr>
      <w:tr>
        <w:tc>
          <w:tcPr>
            <w:vAlign w:val="center"/>
          </w:tcPr>
          <w:p>
            <w:r>
              <w:rPr>
                <w:b/>
                <w:bCs/>
                <w:color w:val="374151"/>
                <w:sz w:val="22"/>
                <w:szCs w:val="22"/>
                <w:rFonts w:ascii="Calibri" w:cs="Calibri" w:eastAsia="Calibri" w:hAnsi="Calibri"/>
              </w:rPr>
              <w:t xml:space="preserve">4 — Alta</w:t>
            </w:r>
          </w:p>
        </w:tc>
        <w:tc>
          <w:tcPr>
            <w:shd w:color="16a34a" w:val="solid"/>
            <w:vAlign w:val="center"/>
          </w:tcPr>
          <w:p>
            <w:pPr>
              <w:jc w:val="center"/>
            </w:pPr>
            <w:r>
              <w:rPr>
                <w:b/>
                <w:bCs/>
                <w:color w:val="ffffff"/>
                <w:sz w:val="22"/>
                <w:szCs w:val="22"/>
                <w:rFonts w:ascii="Calibri" w:cs="Calibri" w:eastAsia="Calibri" w:hAnsi="Calibri"/>
              </w:rPr>
              <w:t xml:space="preserve">4 — Baixo</w:t>
            </w:r>
          </w:p>
        </w:tc>
        <w:tc>
          <w:tcPr>
            <w:shd w:color="eab308" w:val="solid"/>
            <w:vAlign w:val="center"/>
          </w:tcPr>
          <w:p>
            <w:pPr>
              <w:jc w:val="center"/>
            </w:pPr>
            <w:r>
              <w:rPr>
                <w:b/>
                <w:bCs/>
                <w:color w:val="ffffff"/>
                <w:sz w:val="22"/>
                <w:szCs w:val="22"/>
                <w:rFonts w:ascii="Calibri" w:cs="Calibri" w:eastAsia="Calibri" w:hAnsi="Calibri"/>
              </w:rPr>
              <w:t xml:space="preserve">8 — Médio</w:t>
            </w:r>
          </w:p>
        </w:tc>
        <w:tc>
          <w:tcPr>
            <w:shd w:color="f97316" w:val="solid"/>
            <w:vAlign w:val="center"/>
          </w:tcPr>
          <w:p>
            <w:pPr>
              <w:jc w:val="center"/>
            </w:pPr>
            <w:r>
              <w:rPr>
                <w:b/>
                <w:bCs/>
                <w:color w:val="ffffff"/>
                <w:sz w:val="22"/>
                <w:szCs w:val="22"/>
                <w:rFonts w:ascii="Calibri" w:cs="Calibri" w:eastAsia="Calibri" w:hAnsi="Calibri"/>
              </w:rPr>
              <w:t xml:space="preserve">12 — Alto</w:t>
            </w:r>
          </w:p>
        </w:tc>
        <w:tc>
          <w:tcPr>
            <w:shd w:color="f97316" w:val="solid"/>
            <w:vAlign w:val="center"/>
          </w:tcPr>
          <w:p>
            <w:pPr>
              <w:jc w:val="center"/>
            </w:pPr>
            <w:r>
              <w:rPr>
                <w:b/>
                <w:bCs/>
                <w:color w:val="ffffff"/>
                <w:sz w:val="22"/>
                <w:szCs w:val="22"/>
                <w:rFonts w:ascii="Calibri" w:cs="Calibri" w:eastAsia="Calibri" w:hAnsi="Calibri"/>
              </w:rPr>
              <w:t xml:space="preserve">16 — Alto</w:t>
            </w:r>
          </w:p>
        </w:tc>
        <w:tc>
          <w:tcPr>
            <w:shd w:color="dc2626" w:val="solid"/>
            <w:vAlign w:val="center"/>
          </w:tcPr>
          <w:p>
            <w:pPr>
              <w:jc w:val="center"/>
            </w:pPr>
            <w:r>
              <w:rPr>
                <w:b/>
                <w:bCs/>
                <w:color w:val="ffffff"/>
                <w:sz w:val="22"/>
                <w:szCs w:val="22"/>
                <w:rFonts w:ascii="Calibri" w:cs="Calibri" w:eastAsia="Calibri" w:hAnsi="Calibri"/>
              </w:rPr>
              <w:t xml:space="preserve">20 — Muito alto</w:t>
            </w:r>
          </w:p>
        </w:tc>
      </w:tr>
      <w:tr>
        <w:tc>
          <w:tcPr>
            <w:vAlign w:val="center"/>
          </w:tcPr>
          <w:p>
            <w:r>
              <w:rPr>
                <w:b/>
                <w:bCs/>
                <w:color w:val="374151"/>
                <w:sz w:val="22"/>
                <w:szCs w:val="22"/>
                <w:rFonts w:ascii="Calibri" w:cs="Calibri" w:eastAsia="Calibri" w:hAnsi="Calibri"/>
              </w:rPr>
              <w:t xml:space="preserve">3 — Média</w:t>
            </w:r>
          </w:p>
        </w:tc>
        <w:tc>
          <w:tcPr>
            <w:shd w:color="16a34a" w:val="solid"/>
            <w:vAlign w:val="center"/>
          </w:tcPr>
          <w:p>
            <w:pPr>
              <w:jc w:val="center"/>
            </w:pPr>
            <w:r>
              <w:rPr>
                <w:b/>
                <w:bCs/>
                <w:color w:val="ffffff"/>
                <w:sz w:val="22"/>
                <w:szCs w:val="22"/>
                <w:rFonts w:ascii="Calibri" w:cs="Calibri" w:eastAsia="Calibri" w:hAnsi="Calibri"/>
              </w:rPr>
              <w:t xml:space="preserve">3 — Baixo</w:t>
            </w:r>
          </w:p>
        </w:tc>
        <w:tc>
          <w:tcPr>
            <w:shd w:color="eab308" w:val="solid"/>
            <w:vAlign w:val="center"/>
          </w:tcPr>
          <w:p>
            <w:pPr>
              <w:jc w:val="center"/>
            </w:pPr>
            <w:r>
              <w:rPr>
                <w:b/>
                <w:bCs/>
                <w:color w:val="ffffff"/>
                <w:sz w:val="22"/>
                <w:szCs w:val="22"/>
                <w:rFonts w:ascii="Calibri" w:cs="Calibri" w:eastAsia="Calibri" w:hAnsi="Calibri"/>
              </w:rPr>
              <w:t xml:space="preserve">6 — Médio</w:t>
            </w:r>
          </w:p>
        </w:tc>
        <w:tc>
          <w:tcPr>
            <w:shd w:color="eab308" w:val="solid"/>
            <w:vAlign w:val="center"/>
          </w:tcPr>
          <w:p>
            <w:pPr>
              <w:jc w:val="center"/>
            </w:pPr>
            <w:r>
              <w:rPr>
                <w:b/>
                <w:bCs/>
                <w:color w:val="ffffff"/>
                <w:sz w:val="22"/>
                <w:szCs w:val="22"/>
                <w:rFonts w:ascii="Calibri" w:cs="Calibri" w:eastAsia="Calibri" w:hAnsi="Calibri"/>
              </w:rPr>
              <w:t xml:space="preserve">9 — Médio</w:t>
            </w:r>
          </w:p>
        </w:tc>
        <w:tc>
          <w:tcPr>
            <w:shd w:color="f97316" w:val="solid"/>
            <w:vAlign w:val="center"/>
          </w:tcPr>
          <w:p>
            <w:pPr>
              <w:jc w:val="center"/>
            </w:pPr>
            <w:r>
              <w:rPr>
                <w:b/>
                <w:bCs/>
                <w:color w:val="ffffff"/>
                <w:sz w:val="22"/>
                <w:szCs w:val="22"/>
                <w:rFonts w:ascii="Calibri" w:cs="Calibri" w:eastAsia="Calibri" w:hAnsi="Calibri"/>
              </w:rPr>
              <w:t xml:space="preserve">12 — Alto</w:t>
            </w:r>
          </w:p>
        </w:tc>
        <w:tc>
          <w:tcPr>
            <w:shd w:color="f97316" w:val="solid"/>
            <w:vAlign w:val="center"/>
          </w:tcPr>
          <w:p>
            <w:pPr>
              <w:jc w:val="center"/>
            </w:pPr>
            <w:r>
              <w:rPr>
                <w:b/>
                <w:bCs/>
                <w:color w:val="ffffff"/>
                <w:sz w:val="22"/>
                <w:szCs w:val="22"/>
                <w:rFonts w:ascii="Calibri" w:cs="Calibri" w:eastAsia="Calibri" w:hAnsi="Calibri"/>
              </w:rPr>
              <w:t xml:space="preserve">15 — Alto</w:t>
            </w:r>
          </w:p>
        </w:tc>
      </w:tr>
      <w:tr>
        <w:tc>
          <w:tcPr>
            <w:vAlign w:val="center"/>
          </w:tcPr>
          <w:p>
            <w:r>
              <w:rPr>
                <w:b/>
                <w:bCs/>
                <w:color w:val="374151"/>
                <w:sz w:val="22"/>
                <w:szCs w:val="22"/>
                <w:rFonts w:ascii="Calibri" w:cs="Calibri" w:eastAsia="Calibri" w:hAnsi="Calibri"/>
              </w:rPr>
              <w:t xml:space="preserve">2 — Baixa</w:t>
            </w:r>
          </w:p>
        </w:tc>
        <w:tc>
          <w:tcPr>
            <w:shd w:color="16a34a" w:val="solid"/>
            <w:vAlign w:val="center"/>
          </w:tcPr>
          <w:p>
            <w:pPr>
              <w:jc w:val="center"/>
            </w:pPr>
            <w:r>
              <w:rPr>
                <w:b/>
                <w:bCs/>
                <w:color w:val="ffffff"/>
                <w:sz w:val="22"/>
                <w:szCs w:val="22"/>
                <w:rFonts w:ascii="Calibri" w:cs="Calibri" w:eastAsia="Calibri" w:hAnsi="Calibri"/>
              </w:rPr>
              <w:t xml:space="preserve">2 — Baixo</w:t>
            </w:r>
          </w:p>
        </w:tc>
        <w:tc>
          <w:tcPr>
            <w:shd w:color="16a34a" w:val="solid"/>
            <w:vAlign w:val="center"/>
          </w:tcPr>
          <w:p>
            <w:pPr>
              <w:jc w:val="center"/>
            </w:pPr>
            <w:r>
              <w:rPr>
                <w:b/>
                <w:bCs/>
                <w:color w:val="ffffff"/>
                <w:sz w:val="22"/>
                <w:szCs w:val="22"/>
                <w:rFonts w:ascii="Calibri" w:cs="Calibri" w:eastAsia="Calibri" w:hAnsi="Calibri"/>
              </w:rPr>
              <w:t xml:space="preserve">4 — Baixo</w:t>
            </w:r>
          </w:p>
        </w:tc>
        <w:tc>
          <w:tcPr>
            <w:shd w:color="eab308" w:val="solid"/>
            <w:vAlign w:val="center"/>
          </w:tcPr>
          <w:p>
            <w:pPr>
              <w:jc w:val="center"/>
            </w:pPr>
            <w:r>
              <w:rPr>
                <w:b/>
                <w:bCs/>
                <w:color w:val="ffffff"/>
                <w:sz w:val="22"/>
                <w:szCs w:val="22"/>
                <w:rFonts w:ascii="Calibri" w:cs="Calibri" w:eastAsia="Calibri" w:hAnsi="Calibri"/>
              </w:rPr>
              <w:t xml:space="preserve">6 — Médio</w:t>
            </w:r>
          </w:p>
        </w:tc>
        <w:tc>
          <w:tcPr>
            <w:shd w:color="eab308" w:val="solid"/>
            <w:vAlign w:val="center"/>
          </w:tcPr>
          <w:p>
            <w:pPr>
              <w:jc w:val="center"/>
            </w:pPr>
            <w:r>
              <w:rPr>
                <w:b/>
                <w:bCs/>
                <w:color w:val="ffffff"/>
                <w:sz w:val="22"/>
                <w:szCs w:val="22"/>
                <w:rFonts w:ascii="Calibri" w:cs="Calibri" w:eastAsia="Calibri" w:hAnsi="Calibri"/>
              </w:rPr>
              <w:t xml:space="preserve">8 — Médio</w:t>
            </w:r>
          </w:p>
        </w:tc>
        <w:tc>
          <w:tcPr>
            <w:shd w:color="eab308" w:val="solid"/>
            <w:vAlign w:val="center"/>
          </w:tcPr>
          <w:p>
            <w:pPr>
              <w:jc w:val="center"/>
            </w:pPr>
            <w:r>
              <w:rPr>
                <w:b/>
                <w:bCs/>
                <w:color w:val="ffffff"/>
                <w:sz w:val="22"/>
                <w:szCs w:val="22"/>
                <w:rFonts w:ascii="Calibri" w:cs="Calibri" w:eastAsia="Calibri" w:hAnsi="Calibri"/>
              </w:rPr>
              <w:t xml:space="preserve">10 — Médio</w:t>
            </w:r>
          </w:p>
        </w:tc>
      </w:tr>
      <w:tr>
        <w:tc>
          <w:tcPr>
            <w:vAlign w:val="center"/>
          </w:tcPr>
          <w:p>
            <w:r>
              <w:rPr>
                <w:b/>
                <w:bCs/>
                <w:color w:val="374151"/>
                <w:sz w:val="22"/>
                <w:szCs w:val="22"/>
                <w:rFonts w:ascii="Calibri" w:cs="Calibri" w:eastAsia="Calibri" w:hAnsi="Calibri"/>
              </w:rPr>
              <w:t xml:space="preserve">1 — Muito baixa</w:t>
            </w:r>
          </w:p>
        </w:tc>
        <w:tc>
          <w:tcPr>
            <w:shd w:color="16a34a" w:val="solid"/>
            <w:vAlign w:val="center"/>
          </w:tcPr>
          <w:p>
            <w:pPr>
              <w:jc w:val="center"/>
            </w:pPr>
            <w:r>
              <w:rPr>
                <w:b/>
                <w:bCs/>
                <w:color w:val="ffffff"/>
                <w:sz w:val="22"/>
                <w:szCs w:val="22"/>
                <w:rFonts w:ascii="Calibri" w:cs="Calibri" w:eastAsia="Calibri" w:hAnsi="Calibri"/>
              </w:rPr>
              <w:t xml:space="preserve">1 — Baixo</w:t>
            </w:r>
          </w:p>
        </w:tc>
        <w:tc>
          <w:tcPr>
            <w:shd w:color="16a34a" w:val="solid"/>
            <w:vAlign w:val="center"/>
          </w:tcPr>
          <w:p>
            <w:pPr>
              <w:jc w:val="center"/>
            </w:pPr>
            <w:r>
              <w:rPr>
                <w:b/>
                <w:bCs/>
                <w:color w:val="ffffff"/>
                <w:sz w:val="22"/>
                <w:szCs w:val="22"/>
                <w:rFonts w:ascii="Calibri" w:cs="Calibri" w:eastAsia="Calibri" w:hAnsi="Calibri"/>
              </w:rPr>
              <w:t xml:space="preserve">2 — Baixo</w:t>
            </w:r>
          </w:p>
        </w:tc>
        <w:tc>
          <w:tcPr>
            <w:shd w:color="16a34a" w:val="solid"/>
            <w:vAlign w:val="center"/>
          </w:tcPr>
          <w:p>
            <w:pPr>
              <w:jc w:val="center"/>
            </w:pPr>
            <w:r>
              <w:rPr>
                <w:b/>
                <w:bCs/>
                <w:color w:val="ffffff"/>
                <w:sz w:val="22"/>
                <w:szCs w:val="22"/>
                <w:rFonts w:ascii="Calibri" w:cs="Calibri" w:eastAsia="Calibri" w:hAnsi="Calibri"/>
              </w:rPr>
              <w:t xml:space="preserve">3 — Baixo</w:t>
            </w:r>
          </w:p>
        </w:tc>
        <w:tc>
          <w:tcPr>
            <w:shd w:color="16a34a" w:val="solid"/>
            <w:vAlign w:val="center"/>
          </w:tcPr>
          <w:p>
            <w:pPr>
              <w:jc w:val="center"/>
            </w:pPr>
            <w:r>
              <w:rPr>
                <w:b/>
                <w:bCs/>
                <w:color w:val="ffffff"/>
                <w:sz w:val="22"/>
                <w:szCs w:val="22"/>
                <w:rFonts w:ascii="Calibri" w:cs="Calibri" w:eastAsia="Calibri" w:hAnsi="Calibri"/>
              </w:rPr>
              <w:t xml:space="preserve">4 — Baixo</w:t>
            </w:r>
          </w:p>
        </w:tc>
        <w:tc>
          <w:tcPr>
            <w:shd w:color="16a34a" w:val="solid"/>
            <w:vAlign w:val="center"/>
          </w:tcPr>
          <w:p>
            <w:pPr>
              <w:jc w:val="center"/>
            </w:pPr>
            <w:r>
              <w:rPr>
                <w:b/>
                <w:bCs/>
                <w:color w:val="ffffff"/>
                <w:sz w:val="22"/>
                <w:szCs w:val="22"/>
                <w:rFonts w:ascii="Calibri" w:cs="Calibri" w:eastAsia="Calibri" w:hAnsi="Calibri"/>
              </w:rPr>
              <w:t xml:space="preserve">5 — Baixo</w:t>
            </w:r>
          </w:p>
        </w:tc>
      </w:tr>
    </w:tbl>
    <w:p>
      <w:pPr>
        <w:spacing w:after="160"/>
      </w:pPr>
    </w:p>
    <w:p>
      <w:pPr>
        <w:pStyle w:val="Heading2"/>
        <w:spacing w:before="320" w:after="160"/>
      </w:pPr>
      <w:r>
        <w:rPr>
          <w:b/>
          <w:bCs/>
          <w:color w:val="1e3a8a"/>
          <w:sz w:val="28"/>
          <w:szCs w:val="28"/>
          <w:rFonts w:ascii="Calibri" w:cs="Calibri" w:eastAsia="Calibri" w:hAnsi="Calibri"/>
        </w:rPr>
        <w:t xml:space="preserve">7.3. Significado das classificações</w:t>
      </w:r>
    </w:p>
    <w:p>
      <w:pPr>
        <w:pStyle w:val="ListParagraph"/>
        <w:numPr>
          <w:ilvl w:val="0"/>
          <w:numId w:val="1"/>
        </w:numPr>
        <w:spacing w:after="80"/>
      </w:pPr>
      <w:r>
        <w:rPr>
          <w:color w:val="374151"/>
          <w:sz w:val="22"/>
          <w:szCs w:val="22"/>
          <w:rFonts w:ascii="Calibri" w:cs="Calibri" w:eastAsia="Calibri" w:hAnsi="Calibri"/>
        </w:rPr>
        <w:t xml:space="preserve">Muito alto (20–25) — risco inaceitável; requer ação corretiva imediata e prioritária; deve ser reportado à gestão de topo; tratamento obrigatório no prazo máximo de 30 dias; monitorização semanal</w:t>
      </w:r>
    </w:p>
    <w:p>
      <w:pPr>
        <w:pStyle w:val="ListParagraph"/>
        <w:numPr>
          <w:ilvl w:val="0"/>
          <w:numId w:val="1"/>
        </w:numPr>
        <w:spacing w:after="80"/>
      </w:pPr>
      <w:r>
        <w:rPr>
          <w:color w:val="374151"/>
          <w:sz w:val="22"/>
          <w:szCs w:val="22"/>
          <w:rFonts w:ascii="Calibri" w:cs="Calibri" w:eastAsia="Calibri" w:hAnsi="Calibri"/>
        </w:rPr>
        <w:t xml:space="preserve">Alto (12–19) — risco significativo; requer ação corretiva no curto prazo; deve ser reportado ao CISO e à gestão; tratamento obrigatório no prazo máximo de 90 dias; monitorização mensal</w:t>
      </w:r>
    </w:p>
    <w:p>
      <w:pPr>
        <w:pStyle w:val="ListParagraph"/>
        <w:numPr>
          <w:ilvl w:val="0"/>
          <w:numId w:val="1"/>
        </w:numPr>
        <w:spacing w:after="80"/>
      </w:pPr>
      <w:r>
        <w:rPr>
          <w:color w:val="374151"/>
          <w:sz w:val="22"/>
          <w:szCs w:val="22"/>
          <w:rFonts w:ascii="Calibri" w:cs="Calibri" w:eastAsia="Calibri" w:hAnsi="Calibri"/>
        </w:rPr>
        <w:t xml:space="preserve">Médio (6–11) — risco moderado; requer planeamento e implementação de melhorias; tratamento planeado no prazo máximo de 180 dias; monitorização trimestral</w:t>
      </w:r>
    </w:p>
    <w:p>
      <w:pPr>
        <w:pStyle w:val="ListParagraph"/>
        <w:numPr>
          <w:ilvl w:val="0"/>
          <w:numId w:val="1"/>
        </w:numPr>
        <w:spacing w:after="80"/>
      </w:pPr>
      <w:r>
        <w:rPr>
          <w:color w:val="374151"/>
          <w:sz w:val="22"/>
          <w:szCs w:val="22"/>
          <w:rFonts w:ascii="Calibri" w:cs="Calibri" w:eastAsia="Calibri" w:hAnsi="Calibri"/>
        </w:rPr>
        <w:t xml:space="preserve">Baixo (1–5) — risco aceitável; monitorização contínua sem necessidade de ação imediata; revisão anual; pode ser aceite formalmente se dentro do apetite de risco</w:t>
      </w:r>
    </w:p>
    <w:p>
      <w:pPr>
        <w:shd w:color="dbeafe" w:val="solid"/>
        <w:spacing w:before="160" w:after="160"/>
        <w:ind w:left="360" w:right="360"/>
      </w:pPr>
      <w:r>
        <w:rPr>
          <w:i/>
          <w:iCs/>
          <w:color w:val="1e3a8a"/>
          <w:sz w:val="22"/>
          <w:szCs w:val="22"/>
          <w:rFonts w:ascii="Calibri" w:cs="Calibri" w:eastAsia="Calibri" w:hAnsi="Calibri"/>
        </w:rPr>
        <w:t xml:space="preserve">CIR 2024/2690, Anexo 2.1 — a metodologia de avaliação deve produzir resultados que permitam priorizar as medidas de cibersegurança em função do nível de risco identificado, em conformidade com o princípio de proporcionalidade do Art. 21 da Diretiva NIS2 e do Art. 26.º do DL 125/2025.</w:t>
      </w:r>
    </w:p>
    <w:p>
      <w:pPr>
        <w:pStyle w:val="Heading1"/>
        <w:spacing w:before="400" w:after="200"/>
      </w:pPr>
      <w:r>
        <w:rPr>
          <w:b/>
          <w:bCs/>
          <w:color w:val="1e3a8a"/>
          <w:sz w:val="32"/>
          <w:szCs w:val="32"/>
          <w:rFonts w:ascii="Calibri" w:cs="Calibri" w:eastAsia="Calibri" w:hAnsi="Calibri"/>
        </w:rPr>
        <w:t xml:space="preserve">8. Tolerância e apetite de risco</w:t>
      </w:r>
    </w:p>
    <w:p>
      <w:pPr>
        <w:spacing w:after="160"/>
      </w:pPr>
      <w:r>
        <w:rPr>
          <w:color w:val="374151"/>
          <w:sz w:val="22"/>
          <w:szCs w:val="22"/>
          <w:rFonts w:ascii="Calibri" w:cs="Calibri" w:eastAsia="Calibri" w:hAnsi="Calibri"/>
        </w:rPr>
        <w:t xml:space="preserve">O apetite de risco define o nível de risco que [Nome da organização] está disposta a assumir em prossecução dos seus objetivos estratégicos e operacionais. A sua definição é da responsabilidade e competência da gestão de topo, conforme exigido pelo Art. 20 da Diretiva NIS2 e pelo Art. 5.º do DL 125/2025.</w:t>
      </w:r>
    </w:p>
    <w:p>
      <w:pPr>
        <w:pStyle w:val="Heading2"/>
        <w:spacing w:before="320" w:after="160"/>
      </w:pPr>
      <w:r>
        <w:rPr>
          <w:b/>
          <w:bCs/>
          <w:color w:val="1e3a8a"/>
          <w:sz w:val="28"/>
          <w:szCs w:val="28"/>
          <w:rFonts w:ascii="Calibri" w:cs="Calibri" w:eastAsia="Calibri" w:hAnsi="Calibri"/>
        </w:rPr>
        <w:t xml:space="preserve">8.1. Definição de limiares de tolerância</w:t>
      </w:r>
    </w:p>
    <w:p>
      <w:pPr>
        <w:spacing w:after="160"/>
      </w:pPr>
      <w:r>
        <w:rPr>
          <w:color w:val="374151"/>
          <w:sz w:val="22"/>
          <w:szCs w:val="22"/>
          <w:rFonts w:ascii="Calibri" w:cs="Calibri" w:eastAsia="Calibri" w:hAnsi="Calibri"/>
        </w:rPr>
        <w:t xml:space="preserve">Os limiares de tolerância ao risco de [Nome da organização] são os seguintes, salvo deliberação contrária da gestão de topo:</w:t>
      </w:r>
    </w:p>
    <w:p>
      <w:pPr>
        <w:pStyle w:val="ListParagraph"/>
        <w:numPr>
          <w:ilvl w:val="0"/>
          <w:numId w:val="1"/>
        </w:numPr>
        <w:spacing w:after="80"/>
      </w:pPr>
      <w:r>
        <w:rPr>
          <w:color w:val="374151"/>
          <w:sz w:val="22"/>
          <w:szCs w:val="22"/>
          <w:rFonts w:ascii="Calibri" w:cs="Calibri" w:eastAsia="Calibri" w:hAnsi="Calibri"/>
        </w:rPr>
        <w:t xml:space="preserve">Riscos muito altos (20–25) — sempre inaceitáveis; nunca podem ser aceites sem tratamento; requerem ação imediata; qualquer exceção requer aprovação do Conselho de Administração com documentação detalhada</w:t>
      </w:r>
    </w:p>
    <w:p>
      <w:pPr>
        <w:pStyle w:val="ListParagraph"/>
        <w:numPr>
          <w:ilvl w:val="0"/>
          <w:numId w:val="1"/>
        </w:numPr>
        <w:spacing w:after="80"/>
      </w:pPr>
      <w:r>
        <w:rPr>
          <w:color w:val="374151"/>
          <w:sz w:val="22"/>
          <w:szCs w:val="22"/>
          <w:rFonts w:ascii="Calibri" w:cs="Calibri" w:eastAsia="Calibri" w:hAnsi="Calibri"/>
        </w:rPr>
        <w:t xml:space="preserve">Riscos altos (12–19) — geralmente inaceitáveis; requerem tratamento obrigatório; a aceitação temporária (máximo 6 meses) requer aprovação da gestão de topo com plano de mitigação formal</w:t>
      </w:r>
    </w:p>
    <w:p>
      <w:pPr>
        <w:pStyle w:val="ListParagraph"/>
        <w:numPr>
          <w:ilvl w:val="0"/>
          <w:numId w:val="1"/>
        </w:numPr>
        <w:spacing w:after="80"/>
      </w:pPr>
      <w:r>
        <w:rPr>
          <w:color w:val="374151"/>
          <w:sz w:val="22"/>
          <w:szCs w:val="22"/>
          <w:rFonts w:ascii="Calibri" w:cs="Calibri" w:eastAsia="Calibri" w:hAnsi="Calibri"/>
        </w:rPr>
        <w:t xml:space="preserve">Riscos médios (6–11) — podem ser aceites temporariamente com justificação e plano de melhoria; a aceitação permanente requer aprovação do CISO com revisão anual</w:t>
      </w:r>
    </w:p>
    <w:p>
      <w:pPr>
        <w:pStyle w:val="ListParagraph"/>
        <w:numPr>
          <w:ilvl w:val="0"/>
          <w:numId w:val="1"/>
        </w:numPr>
        <w:spacing w:after="80"/>
      </w:pPr>
      <w:r>
        <w:rPr>
          <w:color w:val="374151"/>
          <w:sz w:val="22"/>
          <w:szCs w:val="22"/>
          <w:rFonts w:ascii="Calibri" w:cs="Calibri" w:eastAsia="Calibri" w:hAnsi="Calibri"/>
        </w:rPr>
        <w:t xml:space="preserve">Riscos baixos (1–5) — aceitáveis sem necessidade de tratamento imediato; monitorização e revisão anual; aceitação documentada pelo proprietário do risco</w:t>
      </w:r>
    </w:p>
    <w:p>
      <w:pPr>
        <w:pStyle w:val="Heading2"/>
        <w:spacing w:before="320" w:after="160"/>
      </w:pPr>
      <w:r>
        <w:rPr>
          <w:b/>
          <w:bCs/>
          <w:color w:val="1e3a8a"/>
          <w:sz w:val="28"/>
          <w:szCs w:val="28"/>
          <w:rFonts w:ascii="Calibri" w:cs="Calibri" w:eastAsia="Calibri" w:hAnsi="Calibri"/>
        </w:rPr>
        <w:t xml:space="preserve">8.2. Aprovação e revisão do apetite de risco</w:t>
      </w:r>
    </w:p>
    <w:p>
      <w:pPr>
        <w:pStyle w:val="ListParagraph"/>
        <w:numPr>
          <w:ilvl w:val="0"/>
          <w:numId w:val="1"/>
        </w:numPr>
        <w:spacing w:after="80"/>
      </w:pPr>
      <w:r>
        <w:rPr>
          <w:color w:val="374151"/>
          <w:sz w:val="22"/>
          <w:szCs w:val="22"/>
          <w:rFonts w:ascii="Calibri" w:cs="Calibri" w:eastAsia="Calibri" w:hAnsi="Calibri"/>
        </w:rPr>
        <w:t xml:space="preserve">O apetite de risco é aprovado formalmente pela gestão de topo na revisão anual do SGSI, conforme exigido pelo Art. 20(1) da Diretiva NIS2</w:t>
      </w:r>
    </w:p>
    <w:p>
      <w:pPr>
        <w:pStyle w:val="ListParagraph"/>
        <w:numPr>
          <w:ilvl w:val="0"/>
          <w:numId w:val="1"/>
        </w:numPr>
        <w:spacing w:after="80"/>
      </w:pPr>
      <w:r>
        <w:rPr>
          <w:color w:val="374151"/>
          <w:sz w:val="22"/>
          <w:szCs w:val="22"/>
          <w:rFonts w:ascii="Calibri" w:cs="Calibri" w:eastAsia="Calibri" w:hAnsi="Calibri"/>
        </w:rPr>
        <w:t xml:space="preserve">O CISO propõe anualmente à gestão de topo os limiares de apetite de risco, com base na análise da evolução do panorama de ameaças, dos resultados da avaliação de riscos e dos objetivos estratégicos da organização</w:t>
      </w:r>
    </w:p>
    <w:p>
      <w:pPr>
        <w:pStyle w:val="ListParagraph"/>
        <w:numPr>
          <w:ilvl w:val="0"/>
          <w:numId w:val="1"/>
        </w:numPr>
        <w:spacing w:after="80"/>
      </w:pPr>
      <w:r>
        <w:rPr>
          <w:color w:val="374151"/>
          <w:sz w:val="22"/>
          <w:szCs w:val="22"/>
          <w:rFonts w:ascii="Calibri" w:cs="Calibri" w:eastAsia="Calibri" w:hAnsi="Calibri"/>
        </w:rPr>
        <w:t xml:space="preserve">O apetite de risco pode ser revisto extraordinariamente em caso de alterações significativas no contexto (nova regulamentação, incidente grave, fusão ou aquisição, nova linha de negócio)</w:t>
      </w:r>
    </w:p>
    <w:p>
      <w:pPr>
        <w:pStyle w:val="ListParagraph"/>
        <w:numPr>
          <w:ilvl w:val="0"/>
          <w:numId w:val="1"/>
        </w:numPr>
        <w:spacing w:after="80"/>
      </w:pPr>
      <w:r>
        <w:rPr>
          <w:color w:val="374151"/>
          <w:sz w:val="22"/>
          <w:szCs w:val="22"/>
          <w:rFonts w:ascii="Calibri" w:cs="Calibri" w:eastAsia="Calibri" w:hAnsi="Calibri"/>
        </w:rPr>
        <w:t xml:space="preserve">A declaração de apetite de risco aprovada deve ser comunicada a todos os proprietários de riscos e deve ser referenciada em todos os relatórios de avaliação de riscos</w:t>
      </w:r>
    </w:p>
    <w:p>
      <w:pPr>
        <w:shd w:color="dbeafe" w:val="solid"/>
        <w:spacing w:before="160" w:after="160"/>
        <w:ind w:left="360" w:right="360"/>
      </w:pPr>
      <w:r>
        <w:rPr>
          <w:i/>
          <w:iCs/>
          <w:color w:val="1e3a8a"/>
          <w:sz w:val="22"/>
          <w:szCs w:val="22"/>
          <w:rFonts w:ascii="Calibri" w:cs="Calibri" w:eastAsia="Calibri" w:hAnsi="Calibri"/>
        </w:rPr>
        <w:t xml:space="preserve">Art. 20(1) da Diretiva NIS2 — os órgãos de direção das entidades abrangidas são responsáveis pela aprovação das medidas de gestão dos riscos de cibersegurança, incluindo a definição do apetite de risco. Art. 5.º do DL 125/2025 — responsabilidade específica da gestão de topo na supervisão da implementação das obrigações de cibersegurança.</w:t>
      </w:r>
    </w:p>
    <w:p>
      <w:pPr>
        <w:pStyle w:val="Heading1"/>
        <w:spacing w:before="400" w:after="200"/>
      </w:pPr>
      <w:r>
        <w:rPr>
          <w:b/>
          <w:bCs/>
          <w:color w:val="1e3a8a"/>
          <w:sz w:val="32"/>
          <w:szCs w:val="32"/>
          <w:rFonts w:ascii="Calibri" w:cs="Calibri" w:eastAsia="Calibri" w:hAnsi="Calibri"/>
        </w:rPr>
        <w:t xml:space="preserve">9. Tratamento de riscos</w:t>
      </w:r>
    </w:p>
    <w:p>
      <w:pPr>
        <w:spacing w:after="160"/>
      </w:pPr>
      <w:r>
        <w:rPr>
          <w:color w:val="374151"/>
          <w:sz w:val="22"/>
          <w:szCs w:val="22"/>
          <w:rFonts w:ascii="Calibri" w:cs="Calibri" w:eastAsia="Calibri" w:hAnsi="Calibri"/>
        </w:rPr>
        <w:t xml:space="preserve">Após a avaliação e classificação dos riscos, a organização deve selecionar e implementar opções de tratamento adequadas para os riscos que não se encontrem dentro do apetite de risco definido. O tratamento de riscos é documentado no Plano de Tratamento de Riscos.</w:t>
      </w:r>
    </w:p>
    <w:p>
      <w:pPr>
        <w:pStyle w:val="Heading2"/>
        <w:spacing w:before="320" w:after="160"/>
      </w:pPr>
      <w:r>
        <w:rPr>
          <w:b/>
          <w:bCs/>
          <w:color w:val="1e3a8a"/>
          <w:sz w:val="28"/>
          <w:szCs w:val="28"/>
          <w:rFonts w:ascii="Calibri" w:cs="Calibri" w:eastAsia="Calibri" w:hAnsi="Calibri"/>
        </w:rPr>
        <w:t xml:space="preserve">9.1. Estratégias de tratamento</w:t>
      </w:r>
    </w:p>
    <w:p>
      <w:pPr>
        <w:pStyle w:val="ListParagraph"/>
        <w:numPr>
          <w:ilvl w:val="0"/>
          <w:numId w:val="1"/>
        </w:numPr>
        <w:spacing w:after="80"/>
      </w:pPr>
      <w:r>
        <w:rPr>
          <w:color w:val="374151"/>
          <w:sz w:val="22"/>
          <w:szCs w:val="22"/>
          <w:rFonts w:ascii="Calibri" w:cs="Calibri" w:eastAsia="Calibri" w:hAnsi="Calibri"/>
        </w:rPr>
        <w:t xml:space="preserve">Mitigar (reduzir) — implementação de controlos técnicos, organizacionais ou processuais que reduzam a probabilidade de ocorrência da ameaça e/ou o impacto caso o risco se materialize; é a estratégia mais comum e preferida para riscos altos e muito altos; exemplos: implementação de MFA, encriptação de dados, segmentação de rede, planos de continuidade de negócio</w:t>
      </w:r>
    </w:p>
    <w:p>
      <w:pPr>
        <w:pStyle w:val="ListParagraph"/>
        <w:numPr>
          <w:ilvl w:val="0"/>
          <w:numId w:val="1"/>
        </w:numPr>
        <w:spacing w:after="80"/>
      </w:pPr>
      <w:r>
        <w:rPr>
          <w:color w:val="374151"/>
          <w:sz w:val="22"/>
          <w:szCs w:val="22"/>
          <w:rFonts w:ascii="Calibri" w:cs="Calibri" w:eastAsia="Calibri" w:hAnsi="Calibri"/>
        </w:rPr>
        <w:t xml:space="preserve">Transferir (partilhar) — transferência total ou parcial do risco para terceiros, tipicamente através de apólice de seguro de cyber ou de contrato com fornecedor de serviços de segurança geridos; adequado para riscos com impacto financeiro elevado mas probabilidade moderada; não elimina o risco operacional, apenas o impacto financeiro</w:t>
      </w:r>
    </w:p>
    <w:p>
      <w:pPr>
        <w:pStyle w:val="ListParagraph"/>
        <w:numPr>
          <w:ilvl w:val="0"/>
          <w:numId w:val="1"/>
        </w:numPr>
        <w:spacing w:after="80"/>
      </w:pPr>
      <w:r>
        <w:rPr>
          <w:color w:val="374151"/>
          <w:sz w:val="22"/>
          <w:szCs w:val="22"/>
          <w:rFonts w:ascii="Calibri" w:cs="Calibri" w:eastAsia="Calibri" w:hAnsi="Calibri"/>
        </w:rPr>
        <w:t xml:space="preserve">Aceitar (reter) — decisão informada de não implementar controlos adicionais e de gerir as consequências caso o risco se materialize; apenas admissível para riscos dentro do apetite de risco definido, ou para riscos altos/muito altos com aprovação formal documentada e prazo definido de reavaliação</w:t>
      </w:r>
    </w:p>
    <w:p>
      <w:pPr>
        <w:pStyle w:val="ListParagraph"/>
        <w:numPr>
          <w:ilvl w:val="0"/>
          <w:numId w:val="1"/>
        </w:numPr>
        <w:spacing w:after="80"/>
      </w:pPr>
      <w:r>
        <w:rPr>
          <w:color w:val="374151"/>
          <w:sz w:val="22"/>
          <w:szCs w:val="22"/>
          <w:rFonts w:ascii="Calibri" w:cs="Calibri" w:eastAsia="Calibri" w:hAnsi="Calibri"/>
        </w:rPr>
        <w:t xml:space="preserve">Evitar (eliminar) — eliminação da atividade ou condição que origina o risco; adequado quando o custo de mitigação excede o benefício da atividade que gera o risco; exemplos: descontinuar um sistema legacy com vulnerabilidades graves, abandonar uma linha de negócio com risco excessivo</w:t>
      </w:r>
    </w:p>
    <w:p>
      <w:pPr>
        <w:pStyle w:val="Heading2"/>
        <w:spacing w:before="320" w:after="160"/>
      </w:pPr>
      <w:r>
        <w:rPr>
          <w:b/>
          <w:bCs/>
          <w:color w:val="1e3a8a"/>
          <w:sz w:val="28"/>
          <w:szCs w:val="28"/>
          <w:rFonts w:ascii="Calibri" w:cs="Calibri" w:eastAsia="Calibri" w:hAnsi="Calibri"/>
        </w:rPr>
        <w:t xml:space="preserve">9.2. Planos de tratamento</w:t>
      </w:r>
    </w:p>
    <w:p>
      <w:pPr>
        <w:spacing w:after="160"/>
      </w:pPr>
      <w:r>
        <w:rPr>
          <w:color w:val="374151"/>
          <w:sz w:val="22"/>
          <w:szCs w:val="22"/>
          <w:rFonts w:ascii="Calibri" w:cs="Calibri" w:eastAsia="Calibri" w:hAnsi="Calibri"/>
        </w:rPr>
        <w:t xml:space="preserve">Para cada risco que requeira tratamento, deve ser elaborado um plano de tratamento que inclua os seguintes elementos:</w:t>
      </w:r>
    </w:p>
    <w:p>
      <w:pPr>
        <w:pStyle w:val="ListParagraph"/>
        <w:numPr>
          <w:ilvl w:val="0"/>
          <w:numId w:val="1"/>
        </w:numPr>
        <w:spacing w:after="80"/>
      </w:pPr>
      <w:r>
        <w:rPr>
          <w:color w:val="374151"/>
          <w:sz w:val="22"/>
          <w:szCs w:val="22"/>
          <w:rFonts w:ascii="Calibri" w:cs="Calibri" w:eastAsia="Calibri" w:hAnsi="Calibri"/>
        </w:rPr>
        <w:t xml:space="preserve">Identificação do risco — referência ao registo de riscos (ID e descrição)</w:t>
      </w:r>
    </w:p>
    <w:p>
      <w:pPr>
        <w:pStyle w:val="ListParagraph"/>
        <w:numPr>
          <w:ilvl w:val="0"/>
          <w:numId w:val="1"/>
        </w:numPr>
        <w:spacing w:after="80"/>
      </w:pPr>
      <w:r>
        <w:rPr>
          <w:color w:val="374151"/>
          <w:sz w:val="22"/>
          <w:szCs w:val="22"/>
          <w:rFonts w:ascii="Calibri" w:cs="Calibri" w:eastAsia="Calibri" w:hAnsi="Calibri"/>
        </w:rPr>
        <w:t xml:space="preserve">Opção de tratamento selecionada — justificação da escolha da estratégia de tratamento</w:t>
      </w:r>
    </w:p>
    <w:p>
      <w:pPr>
        <w:pStyle w:val="ListParagraph"/>
        <w:numPr>
          <w:ilvl w:val="0"/>
          <w:numId w:val="1"/>
        </w:numPr>
        <w:spacing w:after="80"/>
      </w:pPr>
      <w:r>
        <w:rPr>
          <w:color w:val="374151"/>
          <w:sz w:val="22"/>
          <w:szCs w:val="22"/>
          <w:rFonts w:ascii="Calibri" w:cs="Calibri" w:eastAsia="Calibri" w:hAnsi="Calibri"/>
        </w:rPr>
        <w:t xml:space="preserve">Ações de tratamento específicas — descrição detalhada das medidas a implementar</w:t>
      </w:r>
    </w:p>
    <w:p>
      <w:pPr>
        <w:pStyle w:val="ListParagraph"/>
        <w:numPr>
          <w:ilvl w:val="0"/>
          <w:numId w:val="1"/>
        </w:numPr>
        <w:spacing w:after="80"/>
      </w:pPr>
      <w:r>
        <w:rPr>
          <w:color w:val="374151"/>
          <w:sz w:val="22"/>
          <w:szCs w:val="22"/>
          <w:rFonts w:ascii="Calibri" w:cs="Calibri" w:eastAsia="Calibri" w:hAnsi="Calibri"/>
        </w:rPr>
        <w:t xml:space="preserve">Proprietário do tratamento — responsável pela implementação e monitorização</w:t>
      </w:r>
    </w:p>
    <w:p>
      <w:pPr>
        <w:pStyle w:val="ListParagraph"/>
        <w:numPr>
          <w:ilvl w:val="0"/>
          <w:numId w:val="1"/>
        </w:numPr>
        <w:spacing w:after="80"/>
      </w:pPr>
      <w:r>
        <w:rPr>
          <w:color w:val="374151"/>
          <w:sz w:val="22"/>
          <w:szCs w:val="22"/>
          <w:rFonts w:ascii="Calibri" w:cs="Calibri" w:eastAsia="Calibri" w:hAnsi="Calibri"/>
        </w:rPr>
        <w:t xml:space="preserve">Recursos necessários — orçamento, pessoal, ferramentas e tempo estimado</w:t>
      </w:r>
    </w:p>
    <w:p>
      <w:pPr>
        <w:pStyle w:val="ListParagraph"/>
        <w:numPr>
          <w:ilvl w:val="0"/>
          <w:numId w:val="1"/>
        </w:numPr>
        <w:spacing w:after="80"/>
      </w:pPr>
      <w:r>
        <w:rPr>
          <w:color w:val="374151"/>
          <w:sz w:val="22"/>
          <w:szCs w:val="22"/>
          <w:rFonts w:ascii="Calibri" w:cs="Calibri" w:eastAsia="Calibri" w:hAnsi="Calibri"/>
        </w:rPr>
        <w:t xml:space="preserve">Prazo de implementação — data alvo para conclusão, coerente com a classificação do risco</w:t>
      </w:r>
    </w:p>
    <w:p>
      <w:pPr>
        <w:pStyle w:val="ListParagraph"/>
        <w:numPr>
          <w:ilvl w:val="0"/>
          <w:numId w:val="1"/>
        </w:numPr>
        <w:spacing w:after="80"/>
      </w:pPr>
      <w:r>
        <w:rPr>
          <w:color w:val="374151"/>
          <w:sz w:val="22"/>
          <w:szCs w:val="22"/>
          <w:rFonts w:ascii="Calibri" w:cs="Calibri" w:eastAsia="Calibri" w:hAnsi="Calibri"/>
        </w:rPr>
        <w:t xml:space="preserve">Indicadores de progresso — métricas para monitorizar a evolução da implementação</w:t>
      </w:r>
    </w:p>
    <w:p>
      <w:pPr>
        <w:pStyle w:val="ListParagraph"/>
        <w:numPr>
          <w:ilvl w:val="0"/>
          <w:numId w:val="1"/>
        </w:numPr>
        <w:spacing w:after="80"/>
      </w:pPr>
      <w:r>
        <w:rPr>
          <w:color w:val="374151"/>
          <w:sz w:val="22"/>
          <w:szCs w:val="22"/>
          <w:rFonts w:ascii="Calibri" w:cs="Calibri" w:eastAsia="Calibri" w:hAnsi="Calibri"/>
        </w:rPr>
        <w:t xml:space="preserve">Risco residual esperado — estimativa do nível de risco após a implementação do tratamento</w:t>
      </w:r>
    </w:p>
    <w:p>
      <w:pPr>
        <w:shd w:color="dbeafe" w:val="solid"/>
        <w:spacing w:before="160" w:after="160"/>
        <w:ind w:left="360" w:right="360"/>
      </w:pPr>
      <w:r>
        <w:rPr>
          <w:i/>
          <w:iCs/>
          <w:color w:val="1e3a8a"/>
          <w:sz w:val="22"/>
          <w:szCs w:val="22"/>
          <w:rFonts w:ascii="Calibri" w:cs="Calibri" w:eastAsia="Calibri" w:hAnsi="Calibri"/>
        </w:rPr>
        <w:t xml:space="preserve">Art. 27.º do DL 125/2025 — as medidas de tratamento devem abranger as categorias mínimas obrigatórias: gestão de incidentes, continuidade de negócio e recuperação, segurança da cadeia de abastecimento, segurança no desenvolvimento e manutenção de redes e sistemas, avaliação da eficácia das medidas, higiene informática, formação, criptografia, segurança dos recursos humanos e autenticação multifator.</w:t>
      </w:r>
    </w:p>
    <w:p>
      <w:pPr>
        <w:pStyle w:val="Heading1"/>
        <w:spacing w:before="400" w:after="200"/>
      </w:pPr>
      <w:r>
        <w:rPr>
          <w:b/>
          <w:bCs/>
          <w:color w:val="1e3a8a"/>
          <w:sz w:val="32"/>
          <w:szCs w:val="32"/>
          <w:rFonts w:ascii="Calibri" w:cs="Calibri" w:eastAsia="Calibri" w:hAnsi="Calibri"/>
        </w:rPr>
        <w:t xml:space="preserve">10. Reavaliação e periodicidade</w:t>
      </w:r>
    </w:p>
    <w:p>
      <w:pPr>
        <w:spacing w:after="160"/>
      </w:pPr>
      <w:r>
        <w:rPr>
          <w:color w:val="374151"/>
          <w:sz w:val="22"/>
          <w:szCs w:val="22"/>
          <w:rFonts w:ascii="Calibri" w:cs="Calibri" w:eastAsia="Calibri" w:hAnsi="Calibri"/>
        </w:rPr>
        <w:t xml:space="preserve">A avaliação de riscos não é um exercício pontual mas um processo contínuo que deve refletir a evolução do panorama de ameaças, das vulnerabilidades da organização e das medidas de controlo implementadas. A periodicidade de reavaliação é determinada em função do nível de risco e da ocorrência de eventos significativos.</w:t>
      </w:r>
    </w:p>
    <w:p>
      <w:pPr>
        <w:pStyle w:val="Heading2"/>
        <w:spacing w:before="320" w:after="160"/>
      </w:pPr>
      <w:r>
        <w:rPr>
          <w:b/>
          <w:bCs/>
          <w:color w:val="1e3a8a"/>
          <w:sz w:val="28"/>
          <w:szCs w:val="28"/>
          <w:rFonts w:ascii="Calibri" w:cs="Calibri" w:eastAsia="Calibri" w:hAnsi="Calibri"/>
        </w:rPr>
        <w:t xml:space="preserve">10.1. Revisão anual obrigatória</w:t>
      </w:r>
    </w:p>
    <w:p>
      <w:pPr>
        <w:spacing w:after="160"/>
      </w:pPr>
      <w:r>
        <w:rPr>
          <w:color w:val="374151"/>
          <w:sz w:val="22"/>
          <w:szCs w:val="22"/>
          <w:rFonts w:ascii="Calibri" w:cs="Calibri" w:eastAsia="Calibri" w:hAnsi="Calibri"/>
        </w:rPr>
        <w:t xml:space="preserve">A avaliação de riscos completa deve ser realizada pelo menos uma vez por ano, com as seguintes atividades:</w:t>
      </w:r>
    </w:p>
    <w:p>
      <w:pPr>
        <w:pStyle w:val="ListParagraph"/>
        <w:numPr>
          <w:ilvl w:val="0"/>
          <w:numId w:val="1"/>
        </w:numPr>
        <w:spacing w:after="80"/>
      </w:pPr>
      <w:r>
        <w:rPr>
          <w:color w:val="374151"/>
          <w:sz w:val="22"/>
          <w:szCs w:val="22"/>
          <w:rFonts w:ascii="Calibri" w:cs="Calibri" w:eastAsia="Calibri" w:hAnsi="Calibri"/>
        </w:rPr>
        <w:t xml:space="preserve">Atualização do inventário de ativos e validação das alterações ocorridas desde a última avaliação</w:t>
      </w:r>
    </w:p>
    <w:p>
      <w:pPr>
        <w:pStyle w:val="ListParagraph"/>
        <w:numPr>
          <w:ilvl w:val="0"/>
          <w:numId w:val="1"/>
        </w:numPr>
        <w:spacing w:after="80"/>
      </w:pPr>
      <w:r>
        <w:rPr>
          <w:color w:val="374151"/>
          <w:sz w:val="22"/>
          <w:szCs w:val="22"/>
          <w:rFonts w:ascii="Calibri" w:cs="Calibri" w:eastAsia="Calibri" w:hAnsi="Calibri"/>
        </w:rPr>
        <w:t xml:space="preserve">Revisão das ameaças consideradas, incorporando novas ameaças identificadas no ENISA Threat Landscape e nos relatórios do CNCS</w:t>
      </w:r>
    </w:p>
    <w:p>
      <w:pPr>
        <w:pStyle w:val="ListParagraph"/>
        <w:numPr>
          <w:ilvl w:val="0"/>
          <w:numId w:val="1"/>
        </w:numPr>
        <w:spacing w:after="80"/>
      </w:pPr>
      <w:r>
        <w:rPr>
          <w:color w:val="374151"/>
          <w:sz w:val="22"/>
          <w:szCs w:val="22"/>
          <w:rFonts w:ascii="Calibri" w:cs="Calibri" w:eastAsia="Calibri" w:hAnsi="Calibri"/>
        </w:rPr>
        <w:t xml:space="preserve">Reavaliação de todos os riscos com classificação alta ou muito alta</w:t>
      </w:r>
    </w:p>
    <w:p>
      <w:pPr>
        <w:pStyle w:val="ListParagraph"/>
        <w:numPr>
          <w:ilvl w:val="0"/>
          <w:numId w:val="1"/>
        </w:numPr>
        <w:spacing w:after="80"/>
      </w:pPr>
      <w:r>
        <w:rPr>
          <w:color w:val="374151"/>
          <w:sz w:val="22"/>
          <w:szCs w:val="22"/>
          <w:rFonts w:ascii="Calibri" w:cs="Calibri" w:eastAsia="Calibri" w:hAnsi="Calibri"/>
        </w:rPr>
        <w:t xml:space="preserve">Verificação da efetividade dos controlos implementados e atualização do risco residual</w:t>
      </w:r>
    </w:p>
    <w:p>
      <w:pPr>
        <w:pStyle w:val="ListParagraph"/>
        <w:numPr>
          <w:ilvl w:val="0"/>
          <w:numId w:val="1"/>
        </w:numPr>
        <w:spacing w:after="80"/>
      </w:pPr>
      <w:r>
        <w:rPr>
          <w:color w:val="374151"/>
          <w:sz w:val="22"/>
          <w:szCs w:val="22"/>
          <w:rFonts w:ascii="Calibri" w:cs="Calibri" w:eastAsia="Calibri" w:hAnsi="Calibri"/>
        </w:rPr>
        <w:t xml:space="preserve">Revisão dos riscos aceites e confirmação de que continuam dentro do apetite de risco</w:t>
      </w:r>
    </w:p>
    <w:p>
      <w:pPr>
        <w:pStyle w:val="ListParagraph"/>
        <w:numPr>
          <w:ilvl w:val="0"/>
          <w:numId w:val="1"/>
        </w:numPr>
        <w:spacing w:after="80"/>
      </w:pPr>
      <w:r>
        <w:rPr>
          <w:color w:val="374151"/>
          <w:sz w:val="22"/>
          <w:szCs w:val="22"/>
          <w:rFonts w:ascii="Calibri" w:cs="Calibri" w:eastAsia="Calibri" w:hAnsi="Calibri"/>
        </w:rPr>
        <w:t xml:space="preserve">Produção de relatório de avaliação de riscos atualizado e submissão à gestão de topo para aprovação</w:t>
      </w:r>
    </w:p>
    <w:p>
      <w:pPr>
        <w:pStyle w:val="Heading2"/>
        <w:spacing w:before="320" w:after="160"/>
      </w:pPr>
      <w:r>
        <w:rPr>
          <w:b/>
          <w:bCs/>
          <w:color w:val="1e3a8a"/>
          <w:sz w:val="28"/>
          <w:szCs w:val="28"/>
          <w:rFonts w:ascii="Calibri" w:cs="Calibri" w:eastAsia="Calibri" w:hAnsi="Calibri"/>
        </w:rPr>
        <w:t xml:space="preserve">10.2. Revisões extraordinárias (event-triggered)</w:t>
      </w:r>
    </w:p>
    <w:p>
      <w:pPr>
        <w:spacing w:after="160"/>
      </w:pPr>
      <w:r>
        <w:rPr>
          <w:color w:val="374151"/>
          <w:sz w:val="22"/>
          <w:szCs w:val="22"/>
          <w:rFonts w:ascii="Calibri" w:cs="Calibri" w:eastAsia="Calibri" w:hAnsi="Calibri"/>
        </w:rPr>
        <w:t xml:space="preserve">Para além da revisão anual, devem ser realizadas revisões extraordinárias da avaliação de riscos quando ocorram os seguintes eventos desencadeadores (triggers):</w:t>
      </w:r>
    </w:p>
    <w:p>
      <w:pPr>
        <w:pStyle w:val="ListParagraph"/>
        <w:numPr>
          <w:ilvl w:val="0"/>
          <w:numId w:val="1"/>
        </w:numPr>
        <w:spacing w:after="80"/>
      </w:pPr>
      <w:r>
        <w:rPr>
          <w:color w:val="374151"/>
          <w:sz w:val="22"/>
          <w:szCs w:val="22"/>
          <w:rFonts w:ascii="Calibri" w:cs="Calibri" w:eastAsia="Calibri" w:hAnsi="Calibri"/>
        </w:rPr>
        <w:t xml:space="preserve">Incidente de cibersegurança significativo — qualquer incidente que tenha impactado os sistemas ou serviços da organização deve desencadear uma revisão dos riscos relacionados</w:t>
      </w:r>
    </w:p>
    <w:p>
      <w:pPr>
        <w:pStyle w:val="ListParagraph"/>
        <w:numPr>
          <w:ilvl w:val="0"/>
          <w:numId w:val="1"/>
        </w:numPr>
        <w:spacing w:after="80"/>
      </w:pPr>
      <w:r>
        <w:rPr>
          <w:color w:val="374151"/>
          <w:sz w:val="22"/>
          <w:szCs w:val="22"/>
          <w:rFonts w:ascii="Calibri" w:cs="Calibri" w:eastAsia="Calibri" w:hAnsi="Calibri"/>
        </w:rPr>
        <w:t xml:space="preserve">Alteração significativa na infraestrutura tecnológica — implementação de novos sistemas críticos, migração para cloud, mudanças arquiteturais relevantes</w:t>
      </w:r>
    </w:p>
    <w:p>
      <w:pPr>
        <w:pStyle w:val="ListParagraph"/>
        <w:numPr>
          <w:ilvl w:val="0"/>
          <w:numId w:val="1"/>
        </w:numPr>
        <w:spacing w:after="80"/>
      </w:pPr>
      <w:r>
        <w:rPr>
          <w:color w:val="374151"/>
          <w:sz w:val="22"/>
          <w:szCs w:val="22"/>
          <w:rFonts w:ascii="Calibri" w:cs="Calibri" w:eastAsia="Calibri" w:hAnsi="Calibri"/>
        </w:rPr>
        <w:t xml:space="preserve">Nova ameaça ou vulnerabilidade crítica — identificação de ameaça ou vulnerabilidade com potencial de impacto elevado, publicada pelo CNCS, ENISA ou CERT</w:t>
      </w:r>
    </w:p>
    <w:p>
      <w:pPr>
        <w:pStyle w:val="ListParagraph"/>
        <w:numPr>
          <w:ilvl w:val="0"/>
          <w:numId w:val="1"/>
        </w:numPr>
        <w:spacing w:after="80"/>
      </w:pPr>
      <w:r>
        <w:rPr>
          <w:color w:val="374151"/>
          <w:sz w:val="22"/>
          <w:szCs w:val="22"/>
          <w:rFonts w:ascii="Calibri" w:cs="Calibri" w:eastAsia="Calibri" w:hAnsi="Calibri"/>
        </w:rPr>
        <w:t xml:space="preserve">Alteração no âmbito do negócio — fusão, aquisição, outsourcing de processos críticos, novos produtos ou serviços com requisitos de segurança específicos</w:t>
      </w:r>
    </w:p>
    <w:p>
      <w:pPr>
        <w:pStyle w:val="ListParagraph"/>
        <w:numPr>
          <w:ilvl w:val="0"/>
          <w:numId w:val="1"/>
        </w:numPr>
        <w:spacing w:after="80"/>
      </w:pPr>
      <w:r>
        <w:rPr>
          <w:color w:val="374151"/>
          <w:sz w:val="22"/>
          <w:szCs w:val="22"/>
          <w:rFonts w:ascii="Calibri" w:cs="Calibri" w:eastAsia="Calibri" w:hAnsi="Calibri"/>
        </w:rPr>
        <w:t xml:space="preserve">Alterações regulatórias — publicação de nova legislação ou regulamentação aplicável que altere os requisitos de segurança</w:t>
      </w:r>
    </w:p>
    <w:p>
      <w:pPr>
        <w:pStyle w:val="ListParagraph"/>
        <w:numPr>
          <w:ilvl w:val="0"/>
          <w:numId w:val="1"/>
        </w:numPr>
        <w:spacing w:after="80"/>
      </w:pPr>
      <w:r>
        <w:rPr>
          <w:color w:val="374151"/>
          <w:sz w:val="22"/>
          <w:szCs w:val="22"/>
          <w:rFonts w:ascii="Calibri" w:cs="Calibri" w:eastAsia="Calibri" w:hAnsi="Calibri"/>
        </w:rPr>
        <w:t xml:space="preserve">Resultados de testes de penetração — identificação de vulnerabilidades críticas ou de alto risco em testes de penetração ou avaliações técnicas de segurança</w:t>
      </w:r>
    </w:p>
    <w:p>
      <w:pPr>
        <w:pStyle w:val="ListParagraph"/>
        <w:numPr>
          <w:ilvl w:val="0"/>
          <w:numId w:val="1"/>
        </w:numPr>
        <w:spacing w:after="80"/>
      </w:pPr>
      <w:r>
        <w:rPr>
          <w:color w:val="374151"/>
          <w:sz w:val="22"/>
          <w:szCs w:val="22"/>
          <w:rFonts w:ascii="Calibri" w:cs="Calibri" w:eastAsia="Calibri" w:hAnsi="Calibri"/>
        </w:rPr>
        <w:t xml:space="preserve">Auditoria com não conformidades significativas — identificação de não conformidades maiores em auditorias internas ou externas do SGSI</w:t>
      </w:r>
    </w:p>
    <w:p>
      <w:pPr>
        <w:pStyle w:val="Heading1"/>
        <w:spacing w:before="400" w:after="200"/>
      </w:pPr>
      <w:r>
        <w:rPr>
          <w:b/>
          <w:bCs/>
          <w:color w:val="1e3a8a"/>
          <w:sz w:val="32"/>
          <w:szCs w:val="32"/>
          <w:rFonts w:ascii="Calibri" w:cs="Calibri" w:eastAsia="Calibri" w:hAnsi="Calibri"/>
        </w:rPr>
        <w:t xml:space="preserve">11. Papéis e responsabilidades</w:t>
      </w:r>
    </w:p>
    <w:p>
      <w:pPr>
        <w:spacing w:after="160"/>
      </w:pPr>
      <w:r>
        <w:rPr>
          <w:color w:val="374151"/>
          <w:sz w:val="22"/>
          <w:szCs w:val="22"/>
          <w:rFonts w:ascii="Calibri" w:cs="Calibri" w:eastAsia="Calibri" w:hAnsi="Calibri"/>
        </w:rPr>
        <w:t xml:space="preserve">O processo de avaliação de riscos envolve múltiplos intervenientes, cada um com responsabilidades específicas. A clareza na definição de papéis é essencial para garantir a qualidade e a efetividade do processo.</w:t>
      </w:r>
    </w:p>
    <w:p>
      <w:pPr>
        <w:pStyle w:val="ListParagraph"/>
        <w:numPr>
          <w:ilvl w:val="0"/>
          <w:numId w:val="1"/>
        </w:numPr>
        <w:spacing w:after="80"/>
      </w:pPr>
      <w:r>
        <w:rPr>
          <w:color w:val="374151"/>
          <w:sz w:val="22"/>
          <w:szCs w:val="22"/>
          <w:rFonts w:ascii="Calibri" w:cs="Calibri" w:eastAsia="Calibri" w:hAnsi="Calibri"/>
        </w:rPr>
        <w:t xml:space="preserve">CISO (Chief Information Security Officer) — responsável pela coordenação e condução do processo de avaliação de riscos; define a metodologia e garante a sua aplicação consistente; consolida os resultados e elabora o relatório de avaliação de riscos; apresenta os resultados à gestão de topo; monitoriza a implementação dos planos de tratamento</w:t>
      </w:r>
    </w:p>
    <w:p>
      <w:pPr>
        <w:pStyle w:val="ListParagraph"/>
        <w:numPr>
          <w:ilvl w:val="0"/>
          <w:numId w:val="1"/>
        </w:numPr>
        <w:spacing w:after="80"/>
      </w:pPr>
      <w:r>
        <w:rPr>
          <w:color w:val="374151"/>
          <w:sz w:val="22"/>
          <w:szCs w:val="22"/>
          <w:rFonts w:ascii="Calibri" w:cs="Calibri" w:eastAsia="Calibri" w:hAnsi="Calibri"/>
        </w:rPr>
        <w:t xml:space="preserve">Gestão de topo — aprova a metodologia de avaliação de riscos e o apetite de risco; recebe e aprova o relatório de avaliação de riscos; toma decisões de investimento em controlos de segurança com base nos riscos identificados; responsável final pelo cumprimento das obrigações do DL 125/2025</w:t>
      </w:r>
    </w:p>
    <w:p>
      <w:pPr>
        <w:pStyle w:val="ListParagraph"/>
        <w:numPr>
          <w:ilvl w:val="0"/>
          <w:numId w:val="1"/>
        </w:numPr>
        <w:spacing w:after="80"/>
      </w:pPr>
      <w:r>
        <w:rPr>
          <w:color w:val="374151"/>
          <w:sz w:val="22"/>
          <w:szCs w:val="22"/>
          <w:rFonts w:ascii="Calibri" w:cs="Calibri" w:eastAsia="Calibri" w:hAnsi="Calibri"/>
        </w:rPr>
        <w:t xml:space="preserve">Proprietários de ativos e processos — participam na identificação e avaliação de riscos relativos aos ativos e processos sob a sua responsabilidade; validam a adequação dos controlos existentes; são os proprietários dos riscos no seu âmbito; implementam os planos de tratamento aprovados</w:t>
      </w:r>
    </w:p>
    <w:p>
      <w:pPr>
        <w:pStyle w:val="ListParagraph"/>
        <w:numPr>
          <w:ilvl w:val="0"/>
          <w:numId w:val="1"/>
        </w:numPr>
        <w:spacing w:after="80"/>
      </w:pPr>
      <w:r>
        <w:rPr>
          <w:color w:val="374151"/>
          <w:sz w:val="22"/>
          <w:szCs w:val="22"/>
          <w:rFonts w:ascii="Calibri" w:cs="Calibri" w:eastAsia="Calibri" w:hAnsi="Calibri"/>
        </w:rPr>
        <w:t xml:space="preserve">Diretor de TI — responsável pela avaliação técnica dos riscos relacionados com infraestrutura, sistemas e redes; fornece informação sobre vulnerabilidades técnicas, arquitetura e capacidades de deteção; implementa os controlos técnicos definidos nos planos de tratamento</w:t>
      </w:r>
    </w:p>
    <w:p>
      <w:pPr>
        <w:pStyle w:val="ListParagraph"/>
        <w:numPr>
          <w:ilvl w:val="0"/>
          <w:numId w:val="1"/>
        </w:numPr>
        <w:spacing w:after="80"/>
      </w:pPr>
      <w:r>
        <w:rPr>
          <w:color w:val="374151"/>
          <w:sz w:val="22"/>
          <w:szCs w:val="22"/>
          <w:rFonts w:ascii="Calibri" w:cs="Calibri" w:eastAsia="Calibri" w:hAnsi="Calibri"/>
        </w:rPr>
        <w:t xml:space="preserve">DPO (Encarregado de Proteção de Dados) — garante o alinhamento da avaliação de riscos com os requisitos do RGPD; identifica riscos específicos para os direitos e liberdades dos titulares de dados; valida as medidas de tratamento que impactam dados pessoais</w:t>
      </w:r>
    </w:p>
    <w:p>
      <w:pPr>
        <w:pStyle w:val="ListParagraph"/>
        <w:numPr>
          <w:ilvl w:val="0"/>
          <w:numId w:val="1"/>
        </w:numPr>
        <w:spacing w:after="80"/>
      </w:pPr>
      <w:r>
        <w:rPr>
          <w:color w:val="374151"/>
          <w:sz w:val="22"/>
          <w:szCs w:val="22"/>
          <w:rFonts w:ascii="Calibri" w:cs="Calibri" w:eastAsia="Calibri" w:hAnsi="Calibri"/>
        </w:rPr>
        <w:t xml:space="preserve">Auditoria interna — verifica periodicamente a aplicação correta da metodologia de avaliação de riscos; avalia a adequação e efetividade dos controlos implementados; reporta ao CISO e à gestão de topo as não conformidades identificadas</w:t>
      </w:r>
    </w:p>
    <w:p>
      <w:pPr>
        <w:pStyle w:val="ListParagraph"/>
        <w:numPr>
          <w:ilvl w:val="0"/>
          <w:numId w:val="1"/>
        </w:numPr>
        <w:spacing w:after="80"/>
      </w:pPr>
      <w:r>
        <w:rPr>
          <w:color w:val="374151"/>
          <w:sz w:val="22"/>
          <w:szCs w:val="22"/>
          <w:rFonts w:ascii="Calibri" w:cs="Calibri" w:eastAsia="Calibri" w:hAnsi="Calibri"/>
        </w:rPr>
        <w:t xml:space="preserve">Colaboradores e utilizadores — reportam incidentes e vulnerabilidades identificadas no exercício das suas funções; participam em workshops de identificação de riscos quando convocados; cumprem os procedimentos de segurança definidos como resultado da avaliação de riscos</w:t>
      </w:r>
    </w:p>
    <w:p>
      <w:pPr>
        <w:shd w:color="dbeafe" w:val="solid"/>
        <w:spacing w:before="160" w:after="160"/>
        <w:ind w:left="360" w:right="360"/>
      </w:pPr>
      <w:r>
        <w:rPr>
          <w:i/>
          <w:iCs/>
          <w:color w:val="1e3a8a"/>
          <w:sz w:val="22"/>
          <w:szCs w:val="22"/>
          <w:rFonts w:ascii="Calibri" w:cs="Calibri" w:eastAsia="Calibri" w:hAnsi="Calibri"/>
        </w:rPr>
        <w:t xml:space="preserve">Art. 20(1) da Diretiva NIS2 e Art. 5.º do DL 125/2025 — a gestão de topo é diretamente responsável pelo processo de gestão de riscos de cibersegurança e não pode delegar a responsabilidade final pelo cumprimento das obrigações legais. O CISO opera por delegação da gestão de topo e é responsável pela implementação operacional do processo.</w:t>
      </w:r>
    </w:p>
    <w:p>
      <w:r>
        <w:br w:type="page"/>
      </w:r>
    </w:p>
    <w:p>
      <w:pPr>
        <w:pStyle w:val="Heading1"/>
        <w:spacing w:before="400" w:after="200"/>
      </w:pPr>
      <w:r>
        <w:rPr>
          <w:b/>
          <w:bCs/>
          <w:color w:val="1e3a8a"/>
          <w:sz w:val="32"/>
          <w:szCs w:val="32"/>
          <w:rFonts w:ascii="Calibri" w:cs="Calibri" w:eastAsia="Calibri" w:hAnsi="Calibri"/>
        </w:rPr>
        <w:t xml:space="preserve">12. Anexos</w:t>
      </w:r>
    </w:p>
    <w:p>
      <w:pPr>
        <w:pStyle w:val="Heading2"/>
        <w:spacing w:before="320" w:after="160"/>
      </w:pPr>
      <w:r>
        <w:rPr>
          <w:b/>
          <w:bCs/>
          <w:color w:val="1e3a8a"/>
          <w:sz w:val="28"/>
          <w:szCs w:val="28"/>
          <w:rFonts w:ascii="Calibri" w:cs="Calibri" w:eastAsia="Calibri" w:hAnsi="Calibri"/>
        </w:rPr>
        <w:t xml:space="preserve">12.1. Template de ficha de risco</w:t>
      </w:r>
    </w:p>
    <w:p>
      <w:pPr>
        <w:spacing w:after="160"/>
      </w:pPr>
      <w:r>
        <w:rPr>
          <w:color w:val="374151"/>
          <w:sz w:val="22"/>
          <w:szCs w:val="22"/>
          <w:rFonts w:ascii="Calibri" w:cs="Calibri" w:eastAsia="Calibri" w:hAnsi="Calibri"/>
        </w:rPr>
        <w:t xml:space="preserve">A ficha de risco é o documento de registo individual de cada risco identificado. Deve ser preenchida para cada risco e mantida no registo de riscos centralizado. Os campos da ficha de risco são os seguintes: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shd w:color="f3f4f6" w:val="solid"/>
            <w:vAlign w:val="center"/>
          </w:tcPr>
          <w:p>
            <w:r>
              <w:rPr>
                <w:b/>
                <w:bCs/>
                <w:color w:val="374151"/>
                <w:sz w:val="22"/>
                <w:szCs w:val="22"/>
                <w:rFonts w:ascii="Calibri" w:cs="Calibri" w:eastAsia="Calibri" w:hAnsi="Calibri"/>
              </w:rPr>
              <w:t xml:space="preserve">ID do risco</w:t>
            </w:r>
          </w:p>
        </w:tc>
        <w:tc>
          <w:tcPr>
            <w:shd w:color="f3f4f6" w:val="solid"/>
            <w:vAlign w:val="center"/>
          </w:tcPr>
          <w:p>
            <w:r>
              <w:rPr>
                <w:b w:val="false"/>
                <w:bCs w:val="false"/>
                <w:color w:val="374151"/>
                <w:sz w:val="22"/>
                <w:szCs w:val="22"/>
                <w:rFonts w:ascii="Calibri" w:cs="Calibri" w:eastAsia="Calibri" w:hAnsi="Calibri"/>
              </w:rPr>
              <w:t xml:space="preserve">[Ex: RISK-2025-001]</w:t>
            </w:r>
          </w:p>
        </w:tc>
        <w:tc>
          <w:tcPr>
            <w:shd w:color="f3f4f6" w:val="solid"/>
            <w:vAlign w:val="center"/>
          </w:tcPr>
          <w:p>
            <w:r>
              <w:rPr>
                <w:b/>
                <w:bCs/>
                <w:color w:val="374151"/>
                <w:sz w:val="22"/>
                <w:szCs w:val="22"/>
                <w:rFonts w:ascii="Calibri" w:cs="Calibri" w:eastAsia="Calibri" w:hAnsi="Calibri"/>
              </w:rPr>
              <w:t xml:space="preserve">Data de identificação</w:t>
            </w:r>
          </w:p>
        </w:tc>
        <w:tc>
          <w:tcPr>
            <w:shd w:color="f3f4f6" w:val="solid"/>
            <w:vAlign w:val="center"/>
          </w:tcPr>
          <w:p>
            <w:r>
              <w:rPr>
                <w:b w:val="false"/>
                <w:bCs w:val="false"/>
                <w:color w:val="374151"/>
                <w:sz w:val="22"/>
                <w:szCs w:val="22"/>
                <w:rFonts w:ascii="Calibri" w:cs="Calibri" w:eastAsia="Calibri" w:hAnsi="Calibri"/>
              </w:rPr>
              <w:t xml:space="preserve">[DD/MM/AAAA]</w:t>
            </w:r>
          </w:p>
        </w:tc>
      </w:tr>
      <w:tr>
        <w:tc>
          <w:tcPr>
            <w:shd w:color="f3f4f6" w:val="solid"/>
            <w:vAlign w:val="center"/>
          </w:tcPr>
          <w:p>
            <w:r>
              <w:rPr>
                <w:b/>
                <w:bCs/>
                <w:color w:val="374151"/>
                <w:sz w:val="22"/>
                <w:szCs w:val="22"/>
                <w:rFonts w:ascii="Calibri" w:cs="Calibri" w:eastAsia="Calibri" w:hAnsi="Calibri"/>
              </w:rPr>
              <w:t xml:space="preserve">Descrição do risco</w:t>
            </w:r>
          </w:p>
        </w:tc>
        <w:tc>
          <w:tcPr>
            <w:vAlign w:val="center"/>
          </w:tcPr>
          <w:p>
            <w:r>
              <w:rPr>
                <w:b w:val="false"/>
                <w:bCs w:val="false"/>
                <w:color w:val="374151"/>
                <w:sz w:val="22"/>
                <w:szCs w:val="22"/>
                <w:rFonts w:ascii="Calibri" w:cs="Calibri" w:eastAsia="Calibri" w:hAnsi="Calibri"/>
              </w:rPr>
              <w:t xml:space="preserve">[Descrição clara e objetiva do risco identificado]</w:t>
            </w:r>
          </w:p>
        </w:tc>
        <w:tc>
          <w:tcPr>
            <w:shd w:color="f3f4f6" w:val="solid"/>
            <w:vAlign w:val="center"/>
          </w:tcPr>
          <w:p>
            <w:r>
              <w:rPr>
                <w:b/>
                <w:bCs/>
                <w:color w:val="374151"/>
                <w:sz w:val="22"/>
                <w:szCs w:val="22"/>
                <w:rFonts w:ascii="Calibri" w:cs="Calibri" w:eastAsia="Calibri" w:hAnsi="Calibri"/>
              </w:rPr>
              <w:t xml:space="preserve">Proprietário do risco</w:t>
            </w:r>
          </w:p>
        </w:tc>
        <w:tc>
          <w:tcPr>
            <w:vAlign w:val="center"/>
          </w:tcPr>
          <w:p>
            <w:r>
              <w:rPr>
                <w:b w:val="false"/>
                <w:bCs w:val="false"/>
                <w:color w:val="374151"/>
                <w:sz w:val="22"/>
                <w:szCs w:val="22"/>
                <w:rFonts w:ascii="Calibri" w:cs="Calibri" w:eastAsia="Calibri" w:hAnsi="Calibri"/>
              </w:rPr>
              <w:t xml:space="preserve">[Nome e cargo]</w:t>
            </w:r>
          </w:p>
        </w:tc>
      </w:tr>
      <w:tr>
        <w:tc>
          <w:tcPr>
            <w:shd w:color="f3f4f6" w:val="solid"/>
            <w:vAlign w:val="center"/>
          </w:tcPr>
          <w:p>
            <w:r>
              <w:rPr>
                <w:b/>
                <w:bCs/>
                <w:color w:val="374151"/>
                <w:sz w:val="22"/>
                <w:szCs w:val="22"/>
                <w:rFonts w:ascii="Calibri" w:cs="Calibri" w:eastAsia="Calibri" w:hAnsi="Calibri"/>
              </w:rPr>
              <w:t xml:space="preserve">Ativo(s) afetado(s)</w:t>
            </w:r>
          </w:p>
        </w:tc>
        <w:tc>
          <w:tcPr>
            <w:shd w:color="f3f4f6" w:val="solid"/>
            <w:vAlign w:val="center"/>
          </w:tcPr>
          <w:p>
            <w:r>
              <w:rPr>
                <w:b w:val="false"/>
                <w:bCs w:val="false"/>
                <w:color w:val="374151"/>
                <w:sz w:val="22"/>
                <w:szCs w:val="22"/>
                <w:rFonts w:ascii="Calibri" w:cs="Calibri" w:eastAsia="Calibri" w:hAnsi="Calibri"/>
              </w:rPr>
              <w:t xml:space="preserve">[Sistemas, processos ou informação exposta ao risco]</w:t>
            </w:r>
          </w:p>
        </w:tc>
        <w:tc>
          <w:tcPr>
            <w:shd w:color="f3f4f6" w:val="solid"/>
            <w:vAlign w:val="center"/>
          </w:tcPr>
          <w:p>
            <w:r>
              <w:rPr>
                <w:b/>
                <w:bCs/>
                <w:color w:val="374151"/>
                <w:sz w:val="22"/>
                <w:szCs w:val="22"/>
                <w:rFonts w:ascii="Calibri" w:cs="Calibri" w:eastAsia="Calibri" w:hAnsi="Calibri"/>
              </w:rPr>
              <w:t xml:space="preserve">Processo crítico</w:t>
            </w:r>
          </w:p>
        </w:tc>
        <w:tc>
          <w:tcPr>
            <w:shd w:color="f3f4f6" w:val="solid"/>
            <w:vAlign w:val="center"/>
          </w:tcPr>
          <w:p>
            <w:r>
              <w:rPr>
                <w:b w:val="false"/>
                <w:bCs w:val="false"/>
                <w:color w:val="374151"/>
                <w:sz w:val="22"/>
                <w:szCs w:val="22"/>
                <w:rFonts w:ascii="Calibri" w:cs="Calibri" w:eastAsia="Calibri" w:hAnsi="Calibri"/>
              </w:rPr>
              <w:t xml:space="preserve">[Sim / Não]</w:t>
            </w:r>
          </w:p>
        </w:tc>
      </w:tr>
      <w:tr>
        <w:tc>
          <w:tcPr>
            <w:shd w:color="f3f4f6" w:val="solid"/>
            <w:vAlign w:val="center"/>
          </w:tcPr>
          <w:p>
            <w:r>
              <w:rPr>
                <w:b/>
                <w:bCs/>
                <w:color w:val="374151"/>
                <w:sz w:val="22"/>
                <w:szCs w:val="22"/>
                <w:rFonts w:ascii="Calibri" w:cs="Calibri" w:eastAsia="Calibri" w:hAnsi="Calibri"/>
              </w:rPr>
              <w:t xml:space="preserve">Ameaça</w:t>
            </w:r>
          </w:p>
        </w:tc>
        <w:tc>
          <w:tcPr>
            <w:vAlign w:val="center"/>
          </w:tcPr>
          <w:p>
            <w:r>
              <w:rPr>
                <w:b w:val="false"/>
                <w:bCs w:val="false"/>
                <w:color w:val="374151"/>
                <w:sz w:val="22"/>
                <w:szCs w:val="22"/>
                <w:rFonts w:ascii="Calibri" w:cs="Calibri" w:eastAsia="Calibri" w:hAnsi="Calibri"/>
              </w:rPr>
              <w:t xml:space="preserve">[Ameaça ou conjunto de ameaças que podem explorar a vulnerabilidade]</w:t>
            </w:r>
          </w:p>
        </w:tc>
        <w:tc>
          <w:tcPr>
            <w:shd w:color="f3f4f6" w:val="solid"/>
            <w:vAlign w:val="center"/>
          </w:tcPr>
          <w:p>
            <w:r>
              <w:rPr>
                <w:b/>
                <w:bCs/>
                <w:color w:val="374151"/>
                <w:sz w:val="22"/>
                <w:szCs w:val="22"/>
                <w:rFonts w:ascii="Calibri" w:cs="Calibri" w:eastAsia="Calibri" w:hAnsi="Calibri"/>
              </w:rPr>
              <w:t xml:space="preserve">Vulnerabilidade</w:t>
            </w:r>
          </w:p>
        </w:tc>
        <w:tc>
          <w:tcPr>
            <w:vAlign w:val="center"/>
          </w:tcPr>
          <w:p>
            <w:r>
              <w:rPr>
                <w:b w:val="false"/>
                <w:bCs w:val="false"/>
                <w:color w:val="374151"/>
                <w:sz w:val="22"/>
                <w:szCs w:val="22"/>
                <w:rFonts w:ascii="Calibri" w:cs="Calibri" w:eastAsia="Calibri" w:hAnsi="Calibri"/>
              </w:rPr>
              <w:t xml:space="preserve">[Fraqueza que pode ser explorada]</w:t>
            </w:r>
          </w:p>
        </w:tc>
      </w:tr>
      <w:tr>
        <w:tc>
          <w:tcPr>
            <w:shd w:color="f3f4f6" w:val="solid"/>
            <w:vAlign w:val="center"/>
          </w:tcPr>
          <w:p>
            <w:r>
              <w:rPr>
                <w:b/>
                <w:bCs/>
                <w:color w:val="374151"/>
                <w:sz w:val="22"/>
                <w:szCs w:val="22"/>
                <w:rFonts w:ascii="Calibri" w:cs="Calibri" w:eastAsia="Calibri" w:hAnsi="Calibri"/>
              </w:rPr>
              <w:t xml:space="preserve">Probabilidade (1–5)</w:t>
            </w:r>
          </w:p>
        </w:tc>
        <w:tc>
          <w:tcPr>
            <w:shd w:color="f3f4f6" w:val="solid"/>
            <w:vAlign w:val="center"/>
          </w:tcPr>
          <w:p>
            <w:r>
              <w:rPr>
                <w:b w:val="false"/>
                <w:bCs w:val="false"/>
                <w:color w:val="374151"/>
                <w:sz w:val="22"/>
                <w:szCs w:val="22"/>
                <w:rFonts w:ascii="Calibri" w:cs="Calibri" w:eastAsia="Calibri" w:hAnsi="Calibri"/>
              </w:rPr>
              <w:t xml:space="preserve">[Valor]</w:t>
            </w:r>
          </w:p>
        </w:tc>
        <w:tc>
          <w:tcPr>
            <w:shd w:color="f3f4f6" w:val="solid"/>
            <w:vAlign w:val="center"/>
          </w:tcPr>
          <w:p>
            <w:r>
              <w:rPr>
                <w:b/>
                <w:bCs/>
                <w:color w:val="374151"/>
                <w:sz w:val="22"/>
                <w:szCs w:val="22"/>
                <w:rFonts w:ascii="Calibri" w:cs="Calibri" w:eastAsia="Calibri" w:hAnsi="Calibri"/>
              </w:rPr>
              <w:t xml:space="preserve">Impacto (1–5)</w:t>
            </w:r>
          </w:p>
        </w:tc>
        <w:tc>
          <w:tcPr>
            <w:shd w:color="f3f4f6" w:val="solid"/>
            <w:vAlign w:val="center"/>
          </w:tcPr>
          <w:p>
            <w:r>
              <w:rPr>
                <w:b w:val="false"/>
                <w:bCs w:val="false"/>
                <w:color w:val="374151"/>
                <w:sz w:val="22"/>
                <w:szCs w:val="22"/>
                <w:rFonts w:ascii="Calibri" w:cs="Calibri" w:eastAsia="Calibri" w:hAnsi="Calibri"/>
              </w:rPr>
              <w:t xml:space="preserve">[Valor]</w:t>
            </w:r>
          </w:p>
        </w:tc>
      </w:tr>
      <w:tr>
        <w:tc>
          <w:tcPr>
            <w:shd w:color="f3f4f6" w:val="solid"/>
            <w:vAlign w:val="center"/>
          </w:tcPr>
          <w:p>
            <w:r>
              <w:rPr>
                <w:b/>
                <w:bCs/>
                <w:color w:val="374151"/>
                <w:sz w:val="22"/>
                <w:szCs w:val="22"/>
                <w:rFonts w:ascii="Calibri" w:cs="Calibri" w:eastAsia="Calibri" w:hAnsi="Calibri"/>
              </w:rPr>
              <w:t xml:space="preserve">Nível de risco bruto</w:t>
            </w:r>
          </w:p>
        </w:tc>
        <w:tc>
          <w:tcPr>
            <w:vAlign w:val="center"/>
          </w:tcPr>
          <w:p>
            <w:r>
              <w:rPr>
                <w:b w:val="false"/>
                <w:bCs w:val="false"/>
                <w:color w:val="374151"/>
                <w:sz w:val="22"/>
                <w:szCs w:val="22"/>
                <w:rFonts w:ascii="Calibri" w:cs="Calibri" w:eastAsia="Calibri" w:hAnsi="Calibri"/>
              </w:rPr>
              <w:t xml:space="preserve">[Probabilidade × Impacto]</w:t>
            </w:r>
          </w:p>
        </w:tc>
        <w:tc>
          <w:tcPr>
            <w:shd w:color="f3f4f6" w:val="solid"/>
            <w:vAlign w:val="center"/>
          </w:tcPr>
          <w:p>
            <w:r>
              <w:rPr>
                <w:b/>
                <w:bCs/>
                <w:color w:val="374151"/>
                <w:sz w:val="22"/>
                <w:szCs w:val="22"/>
                <w:rFonts w:ascii="Calibri" w:cs="Calibri" w:eastAsia="Calibri" w:hAnsi="Calibri"/>
              </w:rPr>
              <w:t xml:space="preserve">Classificação</w:t>
            </w:r>
          </w:p>
        </w:tc>
        <w:tc>
          <w:tcPr>
            <w:vAlign w:val="center"/>
          </w:tcPr>
          <w:p>
            <w:r>
              <w:rPr>
                <w:b w:val="false"/>
                <w:bCs w:val="false"/>
                <w:color w:val="374151"/>
                <w:sz w:val="22"/>
                <w:szCs w:val="22"/>
                <w:rFonts w:ascii="Calibri" w:cs="Calibri" w:eastAsia="Calibri" w:hAnsi="Calibri"/>
              </w:rPr>
              <w:t xml:space="preserve">[Baixo / Médio / Alto / Muito alto]</w:t>
            </w:r>
          </w:p>
        </w:tc>
      </w:tr>
      <w:tr>
        <w:tc>
          <w:tcPr>
            <w:shd w:color="f3f4f6" w:val="solid"/>
            <w:vAlign w:val="center"/>
          </w:tcPr>
          <w:p>
            <w:r>
              <w:rPr>
                <w:b/>
                <w:bCs/>
                <w:color w:val="374151"/>
                <w:sz w:val="22"/>
                <w:szCs w:val="22"/>
                <w:rFonts w:ascii="Calibri" w:cs="Calibri" w:eastAsia="Calibri" w:hAnsi="Calibri"/>
              </w:rPr>
              <w:t xml:space="preserve">Controlos existentes</w:t>
            </w:r>
          </w:p>
        </w:tc>
        <w:tc>
          <w:tcPr>
            <w:shd w:color="f3f4f6" w:val="solid"/>
            <w:vAlign w:val="center"/>
          </w:tcPr>
          <w:p>
            <w:r>
              <w:rPr>
                <w:b w:val="false"/>
                <w:bCs w:val="false"/>
                <w:color w:val="374151"/>
                <w:sz w:val="22"/>
                <w:szCs w:val="22"/>
                <w:rFonts w:ascii="Calibri" w:cs="Calibri" w:eastAsia="Calibri" w:hAnsi="Calibri"/>
              </w:rPr>
              <w:t xml:space="preserve">[Descrição dos controlos já implementados que mitigam este risco]</w:t>
            </w:r>
          </w:p>
        </w:tc>
        <w:tc>
          <w:tcPr>
            <w:shd w:color="f3f4f6" w:val="solid"/>
            <w:vAlign w:val="center"/>
          </w:tcPr>
          <w:p>
            <w:r>
              <w:rPr>
                <w:b/>
                <w:bCs/>
                <w:color w:val="374151"/>
                <w:sz w:val="22"/>
                <w:szCs w:val="22"/>
                <w:rFonts w:ascii="Calibri" w:cs="Calibri" w:eastAsia="Calibri" w:hAnsi="Calibri"/>
              </w:rPr>
              <w:t xml:space="preserve">Eficácia dos controlos</w:t>
            </w:r>
          </w:p>
        </w:tc>
        <w:tc>
          <w:tcPr>
            <w:shd w:color="f3f4f6" w:val="solid"/>
            <w:vAlign w:val="center"/>
          </w:tcPr>
          <w:p>
            <w:r>
              <w:rPr>
                <w:b w:val="false"/>
                <w:bCs w:val="false"/>
                <w:color w:val="374151"/>
                <w:sz w:val="22"/>
                <w:szCs w:val="22"/>
                <w:rFonts w:ascii="Calibri" w:cs="Calibri" w:eastAsia="Calibri" w:hAnsi="Calibri"/>
              </w:rPr>
              <w:t xml:space="preserve">[Elevada / Média / Baixa]</w:t>
            </w:r>
          </w:p>
        </w:tc>
      </w:tr>
      <w:tr>
        <w:tc>
          <w:tcPr>
            <w:shd w:color="f3f4f6" w:val="solid"/>
            <w:vAlign w:val="center"/>
          </w:tcPr>
          <w:p>
            <w:r>
              <w:rPr>
                <w:b/>
                <w:bCs/>
                <w:color w:val="374151"/>
                <w:sz w:val="22"/>
                <w:szCs w:val="22"/>
                <w:rFonts w:ascii="Calibri" w:cs="Calibri" w:eastAsia="Calibri" w:hAnsi="Calibri"/>
              </w:rPr>
              <w:t xml:space="preserve">Risco residual</w:t>
            </w:r>
          </w:p>
        </w:tc>
        <w:tc>
          <w:tcPr>
            <w:vAlign w:val="center"/>
          </w:tcPr>
          <w:p>
            <w:r>
              <w:rPr>
                <w:b w:val="false"/>
                <w:bCs w:val="false"/>
                <w:color w:val="374151"/>
                <w:sz w:val="22"/>
                <w:szCs w:val="22"/>
                <w:rFonts w:ascii="Calibri" w:cs="Calibri" w:eastAsia="Calibri" w:hAnsi="Calibri"/>
              </w:rPr>
              <w:t xml:space="preserve">[Nível de risco após aplicação dos controlos existentes]</w:t>
            </w:r>
          </w:p>
        </w:tc>
        <w:tc>
          <w:tcPr>
            <w:shd w:color="f3f4f6" w:val="solid"/>
            <w:vAlign w:val="center"/>
          </w:tcPr>
          <w:p>
            <w:r>
              <w:rPr>
                <w:b/>
                <w:bCs/>
                <w:color w:val="374151"/>
                <w:sz w:val="22"/>
                <w:szCs w:val="22"/>
                <w:rFonts w:ascii="Calibri" w:cs="Calibri" w:eastAsia="Calibri" w:hAnsi="Calibri"/>
              </w:rPr>
              <w:t xml:space="preserve">Dentro do apetite?</w:t>
            </w:r>
          </w:p>
        </w:tc>
        <w:tc>
          <w:tcPr>
            <w:vAlign w:val="center"/>
          </w:tcPr>
          <w:p>
            <w:r>
              <w:rPr>
                <w:b w:val="false"/>
                <w:bCs w:val="false"/>
                <w:color w:val="374151"/>
                <w:sz w:val="22"/>
                <w:szCs w:val="22"/>
                <w:rFonts w:ascii="Calibri" w:cs="Calibri" w:eastAsia="Calibri" w:hAnsi="Calibri"/>
              </w:rPr>
              <w:t xml:space="preserve">[Sim / Não]</w:t>
            </w:r>
          </w:p>
        </w:tc>
      </w:tr>
      <w:tr>
        <w:tc>
          <w:tcPr>
            <w:shd w:color="f3f4f6" w:val="solid"/>
            <w:vAlign w:val="center"/>
          </w:tcPr>
          <w:p>
            <w:r>
              <w:rPr>
                <w:b/>
                <w:bCs/>
                <w:color w:val="374151"/>
                <w:sz w:val="22"/>
                <w:szCs w:val="22"/>
                <w:rFonts w:ascii="Calibri" w:cs="Calibri" w:eastAsia="Calibri" w:hAnsi="Calibri"/>
              </w:rPr>
              <w:t xml:space="preserve">Tratamento selecionado</w:t>
            </w:r>
          </w:p>
        </w:tc>
        <w:tc>
          <w:tcPr>
            <w:shd w:color="f3f4f6" w:val="solid"/>
            <w:vAlign w:val="center"/>
          </w:tcPr>
          <w:p>
            <w:r>
              <w:rPr>
                <w:b w:val="false"/>
                <w:bCs w:val="false"/>
                <w:color w:val="374151"/>
                <w:sz w:val="22"/>
                <w:szCs w:val="22"/>
                <w:rFonts w:ascii="Calibri" w:cs="Calibri" w:eastAsia="Calibri" w:hAnsi="Calibri"/>
              </w:rPr>
              <w:t xml:space="preserve">[Mitigar / Aceitar / Transferir / Evitar]</w:t>
            </w:r>
          </w:p>
        </w:tc>
        <w:tc>
          <w:tcPr>
            <w:shd w:color="f3f4f6" w:val="solid"/>
            <w:vAlign w:val="center"/>
          </w:tcPr>
          <w:p>
            <w:r>
              <w:rPr>
                <w:b/>
                <w:bCs/>
                <w:color w:val="374151"/>
                <w:sz w:val="22"/>
                <w:szCs w:val="22"/>
                <w:rFonts w:ascii="Calibri" w:cs="Calibri" w:eastAsia="Calibri" w:hAnsi="Calibri"/>
              </w:rPr>
              <w:t xml:space="preserve">Prazo de tratamento</w:t>
            </w:r>
          </w:p>
        </w:tc>
        <w:tc>
          <w:tcPr>
            <w:shd w:color="f3f4f6" w:val="solid"/>
            <w:vAlign w:val="center"/>
          </w:tcPr>
          <w:p>
            <w:r>
              <w:rPr>
                <w:b w:val="false"/>
                <w:bCs w:val="false"/>
                <w:color w:val="374151"/>
                <w:sz w:val="22"/>
                <w:szCs w:val="22"/>
                <w:rFonts w:ascii="Calibri" w:cs="Calibri" w:eastAsia="Calibri" w:hAnsi="Calibri"/>
              </w:rPr>
              <w:t xml:space="preserve">[Data alvo]</w:t>
            </w:r>
          </w:p>
        </w:tc>
      </w:tr>
      <w:tr>
        <w:tc>
          <w:tcPr>
            <w:shd w:color="f3f4f6" w:val="solid"/>
            <w:vAlign w:val="center"/>
          </w:tcPr>
          <w:p>
            <w:r>
              <w:rPr>
                <w:b/>
                <w:bCs/>
                <w:color w:val="374151"/>
                <w:sz w:val="22"/>
                <w:szCs w:val="22"/>
                <w:rFonts w:ascii="Calibri" w:cs="Calibri" w:eastAsia="Calibri" w:hAnsi="Calibri"/>
              </w:rPr>
              <w:t xml:space="preserve">Ações de tratamento</w:t>
            </w:r>
          </w:p>
        </w:tc>
        <w:tc>
          <w:tcPr>
            <w:vAlign w:val="center"/>
          </w:tcPr>
          <w:p>
            <w:r>
              <w:rPr>
                <w:b w:val="false"/>
                <w:bCs w:val="false"/>
                <w:color w:val="374151"/>
                <w:sz w:val="22"/>
                <w:szCs w:val="22"/>
                <w:rFonts w:ascii="Calibri" w:cs="Calibri" w:eastAsia="Calibri" w:hAnsi="Calibri"/>
              </w:rPr>
              <w:t xml:space="preserve">[Ações concretas planeadas para tratar o risco]</w:t>
            </w:r>
          </w:p>
        </w:tc>
        <w:tc>
          <w:tcPr>
            <w:shd w:color="f3f4f6" w:val="solid"/>
            <w:vAlign w:val="center"/>
          </w:tcPr>
          <w:p>
            <w:r>
              <w:rPr>
                <w:b/>
                <w:bCs/>
                <w:color w:val="374151"/>
                <w:sz w:val="22"/>
                <w:szCs w:val="22"/>
                <w:rFonts w:ascii="Calibri" w:cs="Calibri" w:eastAsia="Calibri" w:hAnsi="Calibri"/>
              </w:rPr>
              <w:t xml:space="preserve">Responsável pelo tratamento</w:t>
            </w:r>
          </w:p>
        </w:tc>
        <w:tc>
          <w:tcPr>
            <w:vAlign w:val="center"/>
          </w:tcPr>
          <w:p>
            <w:r>
              <w:rPr>
                <w:b w:val="false"/>
                <w:bCs w:val="false"/>
                <w:color w:val="374151"/>
                <w:sz w:val="22"/>
                <w:szCs w:val="22"/>
                <w:rFonts w:ascii="Calibri" w:cs="Calibri" w:eastAsia="Calibri" w:hAnsi="Calibri"/>
              </w:rPr>
              <w:t xml:space="preserve">[Nome e cargo]</w:t>
            </w:r>
          </w:p>
        </w:tc>
      </w:tr>
    </w:tbl>
    <w:p>
      <w:pPr>
        <w:spacing w:after="160"/>
      </w:pPr>
    </w:p>
    <w:p>
      <w:pPr>
        <w:pStyle w:val="Heading2"/>
        <w:spacing w:before="320" w:after="160"/>
      </w:pPr>
      <w:r>
        <w:rPr>
          <w:b/>
          <w:bCs/>
          <w:color w:val="1e3a8a"/>
          <w:sz w:val="28"/>
          <w:szCs w:val="28"/>
          <w:rFonts w:ascii="Calibri" w:cs="Calibri" w:eastAsia="Calibri" w:hAnsi="Calibri"/>
        </w:rPr>
        <w:t xml:space="preserve">12.2. Critérios detalhados de avaliação</w:t>
      </w:r>
    </w:p>
    <w:p>
      <w:pPr>
        <w:spacing w:after="160"/>
      </w:pPr>
      <w:r>
        <w:rPr>
          <w:color w:val="374151"/>
          <w:sz w:val="22"/>
          <w:szCs w:val="22"/>
          <w:rFonts w:ascii="Calibri" w:cs="Calibri" w:eastAsia="Calibri" w:hAnsi="Calibri"/>
        </w:rPr>
        <w:t xml:space="preserve">Os critérios detalhados para a avaliação das dimensões de impacto operacional, financeiro, reputacional e legal são os seguintes:</w:t>
      </w:r>
    </w:p>
    <w:p>
      <w:pPr>
        <w:pStyle w:val="ListParagraph"/>
        <w:numPr>
          <w:ilvl w:val="0"/>
          <w:numId w:val="1"/>
        </w:numPr>
        <w:spacing w:after="80"/>
      </w:pPr>
      <w:r>
        <w:rPr>
          <w:color w:val="374151"/>
          <w:sz w:val="22"/>
          <w:szCs w:val="22"/>
          <w:rFonts w:ascii="Calibri" w:cs="Calibri" w:eastAsia="Calibri" w:hAnsi="Calibri"/>
        </w:rPr>
        <w:t xml:space="preserve">Impacto 1 (muito baixo) — perturbação operacional inferior a 1 hora; sem impacto nos serviços externos; impacto financeiro inferior a 5 000 EUR; sem atenção mediática; sem exposição regulatória</w:t>
      </w:r>
    </w:p>
    <w:p>
      <w:pPr>
        <w:pStyle w:val="ListParagraph"/>
        <w:numPr>
          <w:ilvl w:val="0"/>
          <w:numId w:val="1"/>
        </w:numPr>
        <w:spacing w:after="80"/>
      </w:pPr>
      <w:r>
        <w:rPr>
          <w:color w:val="374151"/>
          <w:sz w:val="22"/>
          <w:szCs w:val="22"/>
          <w:rFonts w:ascii="Calibri" w:cs="Calibri" w:eastAsia="Calibri" w:hAnsi="Calibri"/>
        </w:rPr>
        <w:t xml:space="preserve">Impacto 2 (baixo) — perturbação operacional entre 1 e 8 horas; impacto limitado a sistemas internos não críticos; impacto financeiro entre 5 000 e 50 000 EUR; cobertura mediática local improvável; incidente notificável ao CNCS não requerido</w:t>
      </w:r>
    </w:p>
    <w:p>
      <w:pPr>
        <w:pStyle w:val="ListParagraph"/>
        <w:numPr>
          <w:ilvl w:val="0"/>
          <w:numId w:val="1"/>
        </w:numPr>
        <w:spacing w:after="80"/>
      </w:pPr>
      <w:r>
        <w:rPr>
          <w:color w:val="374151"/>
          <w:sz w:val="22"/>
          <w:szCs w:val="22"/>
          <w:rFonts w:ascii="Calibri" w:cs="Calibri" w:eastAsia="Calibri" w:hAnsi="Calibri"/>
        </w:rPr>
        <w:t xml:space="preserve">Impacto 3 (médio) — perturbação operacional entre 8 horas e 3 dias; impacto em serviços com clientes mas com alternativas disponíveis; impacto financeiro entre 50 000 e 500 000 EUR; possível cobertura mediática; pode requerer notificação ao CNCS</w:t>
      </w:r>
    </w:p>
    <w:p>
      <w:pPr>
        <w:pStyle w:val="ListParagraph"/>
        <w:numPr>
          <w:ilvl w:val="0"/>
          <w:numId w:val="1"/>
        </w:numPr>
        <w:spacing w:after="80"/>
      </w:pPr>
      <w:r>
        <w:rPr>
          <w:color w:val="374151"/>
          <w:sz w:val="22"/>
          <w:szCs w:val="22"/>
          <w:rFonts w:ascii="Calibri" w:cs="Calibri" w:eastAsia="Calibri" w:hAnsi="Calibri"/>
        </w:rPr>
        <w:t xml:space="preserve">Impacto 4 (alto) — perturbação operacional entre 3 e 30 dias; impacto em serviços essenciais sem alternativa imediata; impacto financeiro entre 500 000 e 5 000 000 EUR; cobertura mediática nacional provável; notificação ao CNCS obrigatória (Art. 30.º DL 125/2025)</w:t>
      </w:r>
    </w:p>
    <w:p>
      <w:pPr>
        <w:pStyle w:val="ListParagraph"/>
        <w:numPr>
          <w:ilvl w:val="0"/>
          <w:numId w:val="1"/>
        </w:numPr>
        <w:spacing w:after="80"/>
      </w:pPr>
      <w:r>
        <w:rPr>
          <w:color w:val="374151"/>
          <w:sz w:val="22"/>
          <w:szCs w:val="22"/>
          <w:rFonts w:ascii="Calibri" w:cs="Calibri" w:eastAsia="Calibri" w:hAnsi="Calibri"/>
        </w:rPr>
        <w:t xml:space="preserve">Impacto 5 (muito alto) — perturbação operacional superior a 30 dias ou irrecuperável; falha de serviços essenciais com impacto na sociedade; impacto financeiro superior a 5 000 000 EUR; cobertura mediática nacional e internacional; coimas regulatórias (até 10 000 000 EUR — Art. 52.º DL 125/2025)</w:t>
      </w:r>
    </w:p>
    <w:p>
      <w:pPr>
        <w:shd w:color="dbeafe" w:val="solid"/>
        <w:spacing w:before="160" w:after="160"/>
        <w:ind w:left="360" w:right="360"/>
      </w:pPr>
      <w:r>
        <w:rPr>
          <w:i/>
          <w:iCs/>
          <w:color w:val="1e3a8a"/>
          <w:sz w:val="22"/>
          <w:szCs w:val="22"/>
          <w:rFonts w:ascii="Calibri" w:cs="Calibri" w:eastAsia="Calibri" w:hAnsi="Calibri"/>
        </w:rPr>
        <w:t xml:space="preserve">A periodicidade mínima de reavaliação dos riscos é anual, conforme o CIR 2024/2690 Anexo 2.1. Adicionalmente, o Art. 26.º do DL 125/2025 exige que as medidas de gestão de riscos sejam revistas sempre que ocorram alterações significativas no contexto de risco da organização. O relatório de avaliação de riscos aprovado pela gestão de topo deve ser mantido como evidência documental do cumprimento das obrigações legais e disponibilizado ao CNCS em caso de supervisão.</w:t>
      </w:r>
    </w:p>
    <w:sectPr>
      <w:headerReference w:type="default" r:id="rId6"/>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e3a8a" w:sz="6" w:space="1"/>
      </w:pBdr>
      <w:jc w:val="center"/>
    </w:pPr>
    <w:r>
      <w:rPr>
        <w:color w:val="9ca3af"/>
        <w:sz w:val="18"/>
        <w:szCs w:val="18"/>
        <w:rFonts w:ascii="Calibri" w:cs="Calibri" w:eastAsia="Calibri" w:hAnsi="Calibri"/>
      </w:rPr>
      <w:t xml:space="preserve">Confidencial  |  Página </w:t>
    </w:r>
    <w:r>
      <w:rPr>
        <w:color w:val="9ca3af"/>
        <w:sz w:val="18"/>
        <w:szCs w:val="18"/>
        <w:rFonts w:ascii="Calibri" w:cs="Calibri" w:eastAsia="Calibri" w:hAnsi="Calibri"/>
      </w:rPr>
      <w:fldChar w:fldCharType="begin"/>
      <w:instrText xml:space="preserve">PAGE</w:instrText>
      <w:fldChar w:fldCharType="separate"/>
      <w:fldChar w:fldCharType="end"/>
    </w:r>
    <w:r>
      <w:rPr>
        <w:color w:val="9ca3af"/>
        <w:sz w:val="18"/>
        <w:szCs w:val="18"/>
        <w:rFonts w:ascii="Calibri" w:cs="Calibri" w:eastAsia="Calibri" w:hAnsi="Calibri"/>
      </w:rPr>
      <w:t xml:space="preserve"> de </w:t>
    </w:r>
    <w:r>
      <w:rPr>
        <w:color w:val="9ca3af"/>
        <w:sz w:val="18"/>
        <w:szCs w:val="18"/>
        <w:rFonts w:ascii="Calibri" w:cs="Calibri" w:eastAsia="Calibri" w:hAnsi="Calibri"/>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e3a8a" w:sz="6" w:space="1"/>
      </w:pBdr>
      <w:jc w:val="right"/>
    </w:pPr>
    <w:r>
      <w:rPr>
        <w:color w:val="9ca3af"/>
        <w:sz w:val="18"/>
        <w:szCs w:val="18"/>
        <w:rFonts w:ascii="Calibri" w:cs="Calibri" w:eastAsia="Calibri" w:hAnsi="Calibri"/>
      </w:rPr>
      <w:t xml:space="preserve">Metodologia de avaliação de riscos de cibersegurança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updateFields/>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2026-03-18T13:34:03.258Z</dcterms:created>
  <dcterms:modified xsi:type="dcterms:W3CDTF">2026-03-18T13:34:03.258Z</dcterms:modified>
</cp:coreProperties>
</file>

<file path=docProps/custom.xml><?xml version="1.0" encoding="utf-8"?>
<Properties xmlns="http://schemas.openxmlformats.org/officeDocument/2006/custom-properties" xmlns:vt="http://schemas.openxmlformats.org/officeDocument/2006/docPropsVTypes"/>
</file>