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Metodologia de Medição de Eficácia das Medidas de Cibersegurança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Medição de eficácia — Art. 21(2)(f) NIS2 | Art. 26.º DL 125/2025 | CIR 2024/2690 Anexo VII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Base legal: Art. 21(2)(f) da Diretiva NIS2 — As organizações devem adotar medidas adequadas para medir a eficácia das políticas de gestão de riscos de cibersegurança. Art. 26.º do DL 125/2025 transpõe esta obrigação para o ordenamento jurídico português.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documento define a metodologia adotada por [Nome da organização] para medir, de forma sistemática e objetiva, a eficácia das medidas de cibersegurança implementadas no âmbito do cumprimento da Diretiva NIS2, do Decreto-Lei n.º 125/2025 e do Regulamento de Execução (UE) 2024/2690 (CIR).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medição de eficácia é um elemento essencial de qualquer programa de cibersegurança maduro. Não basta implementar controlos técnicos e organizacionais — é necessário verificar, de forma continuada, se esses controlos estão a funcionar como esperado, se protegem efetivamente os ativos críticos e se contribuem para a redução do risco residual.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1.1 Objetivos específicos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Avaliar o grau de implementação e funcionamento das medidas de segurança previstas no Art. 21 da Diretiva NIS2 e no DL 125/2025.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Fornecer à gestão de topo informação objetiva sobre o estado da cibersegurança organizacional.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Identificar lacunas, tendências negativas e áreas de melhoria prioritária.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Suportar a tomada de decisão informada sobre investimentos em cibersegurança.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Demonstrar conformidade regulatória ao CNCS e outras autoridades competentes.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Apoiar o processo de revisão anual da política de segurança da informação.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1.2 Âmbito de aplicação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metodologia aplica-se a todos os sistemas de informação, processos, colaboradores e fornecedores que integram o âmbito do Sistema de Gestão de Cibersegurança (SGC) de [Nome da organização], conforme definido no documento de âmbito do SGC. Abrange todas as categorias de medidas previstas no Art. 21(2) da Diretiva NIS2 e no Art. 6.º do CIR 2024/2690.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 e normativo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Referências normativas: Art. 21(2)(f) Diretiva NIS2 — Art. 26.º DL 125/2025 — CIR 2024/2690 (Anexo VII) — ISO/IEC 27004:2016 — NIST SP 800-55 Rev. 2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obrigação de medir a eficácia das medidas de cibersegurança decorre diretamente do quadro regulatório europeu e nacional aplicável às entidades essenciais e importantes.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2.1 Diretiva NIS2 — Art. 21(2)(f)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Art. 21(2)(f) da Diretiva (UE) 2022/2555 (NIS2) estabelece que as políticas e procedimentos de gestão de riscos de cibersegurança devem incluir medidas para avaliar a eficácia das medidas de gestão dos riscos de cibersegurança. Esta disposição reconhece que a mera existência de controlos não é suficiente — a sua eficácia operacional deve ser verificada e documentada.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2.2 Decreto-Lei n.º 125/2025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Art. 26.º do DL 125/2025 transpõe o Art. 21(2)(f) da Diretiva NIS2 para o direito português, exigindo que as entidades abrangidas adotem mecanismos de medição e avaliação da eficácia das suas medidas de cibersegurança. O incumprimento desta obrigação pode constituir infração punível nos termos do Capítulo VI do mesmo diploma.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2.3 CIR 2024/2690 — Anexo VII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Regulamento de Execução (UE) 2024/2690 (CIR), aplicável a determinadas categorias de entidades essenciais, inclui no seu Anexo VII requisitos específicos relativos à medição de eficácia, designadamente: definição de indicadores mensuráveis, recolha sistemática de dados, análise de tendências e reporte à gestão de topo. A presente metodologia incorpora integralmente estes requisitos.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2.4 Normas e frameworks de referência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27004:2016 — Tecnologias da informação — Técnicas de segurança — Gestão da segurança da informação — Monitorização, medição, análise e avaliação.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NIST SP 800-55 Rev. 2 — Performance Measurement Guide for Information Security.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CIS Controls v8 — Métricas de implementação e eficácia por domínio.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ENISA Good Practices for Security Indicators — Boas práticas para indicadores de segurança.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27001:2022 — Cláusula 9 (Avaliação de desempenho) — Requisitos de monitorização e medição.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Princípios de medição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metodologia de medição de eficácia da [Nome da organização] assenta nos seguintes princípios fundamentais, que garantem que os indicadores definidos são úteis, fiáveis e acionáveis: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 Critérios SMART para indicadores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indicadores de eficácia devem cumprir os critérios SMART: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Específico (Specific) — O indicador mede um aspeto concreto e bem definido da segurança. Evitar indicadores vagos ou ambíguos.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Mensurável (Measurable) — Existe uma fonte de dados fiável e um método de cálculo preciso e reprodutível.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Alcançável (Achievable) — A meta associada é realista face aos recursos disponíveis e à maturidade atual da organização.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Relevante (Relevant) — O indicador está diretamente relacionado com um risco, controlo ou obrigação regulatória identificada.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Temporal (Time-bound) — O indicador tem uma frequência de medição definida e metas com prazo.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 Outros princípios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Objetividade — Os indicadores devem ser baseados em dados factuais, não em perceções subjetivas.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Repetibilidade — A mesma medição realizada em momentos diferentes deve produzir resultados comparáveis.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Proporcionalidade — O esforço de medição deve ser proporcional à criticidade do controlo e ao risco associado.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Utilidade — Cada indicador deve gerar informação que suporte uma decisão ou ação concreta.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Economicidade — A recolha e análise de dados deve ser automatizada sempre que possível para minimizar o esforço manual.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Coerência — Os indicadores devem ser consistentes ao longo do tempo para permitir a análise de tendências.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Tipos de indicadores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metodologia distingue quatro categorias principais de indicadores, cada uma servindo um propósito específico na avaliação da eficácia das medidas de cibersegurança: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 KPIs — Indicadores-chave de desempenho (resultado)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KPIs (Key Performance Indicators) medem o resultado efetivo dos controlos de segurança, respondendo à pergunta "estamos a atingir os objetivos?". São orientados para o passado — medem o que já aconteceu. Exemplos: taxa de incidentes resolvidos dentro do SLA, percentagem de sistemas com patches atualizados, taxa de conformidade com a política de passwords.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 KRIs — Indicadores-chave de risco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KRIs (Key Risk Indicators) medem sinais de alerta precoce que indicam um aumento do risco de ocorrência de incidentes. São orientados para o futuro — medem a probabilidade de problemas futuros. Exemplos: número de vulnerabilidades críticas não remediadas, volume de tentativas de acesso falhado, número de fornecedores com conformidade vencida.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4.3 Métricas operacionais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métricas operacionais medem a eficiência e capacidade das equipas de segurança no dia-a-dia. Destinam-se principalmente às equipas técnicas e ao CISO. Exemplos: tempo médio de triagem de alertas, capacidade de processamento do SIEM, tempo de resposta a chamadas do SOC.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4.4 Métricas de conformidade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métricas de conformidade medem o grau de aderência aos requisitos regulatórios (DL 125/2025, CIR 2024/2690) e às normas aplicáveis (ISO 27001). Destinam-se à gestão de topo e aos responsáveis de compliance. Exemplos: percentagem de controlos NIS2 implementados, número de não-conformidades por auditoria, percentagem de incidentes notificados dentro do prazo legal.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Catálogo de KPIs por domínio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Os KPIs abaixo cobrem os domínios previstos no Art. 21(2) da Diretiva NIS2 e nos Arts. 6.º a 20.º do CIR 2024/2690. Cada organização deve selecionar e adaptar os indicadores à sua dimensão, setor e perfil de risco.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Legenda: KPI = Key Performance Indicator | KRI = Key Risk Indicator | Diário = D | Semanal = S | Mensal = M | Trimestral = T | Anual = 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 Domínio: Gestão de riscos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Domínio</w:t>
            </w:r>
          </w:p>
        </w:tc>
        <w:tc>
          <w:tcPr>
            <w:tcW w:type="pct" w:w="2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Indicador</w:t>
            </w:r>
          </w:p>
        </w:tc>
        <w:tc>
          <w:tcPr>
            <w:tcW w:type="pct" w:w="8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pct" w:w="3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Fórmula / Descrição</w:t>
            </w:r>
          </w:p>
        </w:tc>
        <w:tc>
          <w:tcPr>
            <w:tcW w:type="pct" w:w="1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Meta</w:t>
            </w:r>
          </w:p>
        </w:tc>
        <w:tc>
          <w:tcPr>
            <w:tcW w:type="pct" w:w="13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riscos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riscos com plano de tratamento definido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riscos com plano / Nº riscos total × 100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95%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riscos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médio de resolução de riscos altos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Soma dias resolução riscos altos / Nº riscos altos resolvidos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≤ 30 dias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riscos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riscos reavaliados dentro do prazo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riscos reavaliados / Nº riscos com prazo de reavaliação × 100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riscos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riscos críticos em aberto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KRI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Contagem de riscos com classificação Crítica sem plano concluído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</w:t>
            </w:r>
          </w:p>
        </w:tc>
      </w:tr>
    </w:tbl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 Domínio: Gestão de incidentes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Domínio</w:t>
            </w:r>
          </w:p>
        </w:tc>
        <w:tc>
          <w:tcPr>
            <w:tcW w:type="pct" w:w="2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Indicador</w:t>
            </w:r>
          </w:p>
        </w:tc>
        <w:tc>
          <w:tcPr>
            <w:tcW w:type="pct" w:w="8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pct" w:w="3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Fórmula / Descrição</w:t>
            </w:r>
          </w:p>
        </w:tc>
        <w:tc>
          <w:tcPr>
            <w:tcW w:type="pct" w:w="1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Meta</w:t>
            </w:r>
          </w:p>
        </w:tc>
        <w:tc>
          <w:tcPr>
            <w:tcW w:type="pct" w:w="13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Incidentes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MTTD — Tempo médio de deteção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Soma (hora deteção - hora início incidente) / Nº incidentes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≤ 4 horas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Incidentes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MTTR — Tempo médio de resolução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Soma (hora resolução - hora deteção) / Nº incidentes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≤ 24 horas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Incidentes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incidentes significativos notificados ao CNCS em 24h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incidentes notificados em 24h / Nº incidentes significativos × 100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Incidentes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incidentes com relatório final enviado em 30 dias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relatórios enviados / Nº incidentes com obrigação × 100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Incidentes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incidentes por tipo (mensal)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Contagem de incidentes por categoria (malware, DDoS, acesso indevido, etc.)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Tendência ↓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Incidentes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Taxa de falsos positivos do SIEM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alertas falsos positivos / Nº alertas totais × 100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≤ 10%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5.3 Domínio: Controlo de acessos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Domínio</w:t>
            </w:r>
          </w:p>
        </w:tc>
        <w:tc>
          <w:tcPr>
            <w:tcW w:type="pct" w:w="2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Indicador</w:t>
            </w:r>
          </w:p>
        </w:tc>
        <w:tc>
          <w:tcPr>
            <w:tcW w:type="pct" w:w="8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pct" w:w="3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Fórmula / Descrição</w:t>
            </w:r>
          </w:p>
        </w:tc>
        <w:tc>
          <w:tcPr>
            <w:tcW w:type="pct" w:w="1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Meta</w:t>
            </w:r>
          </w:p>
        </w:tc>
        <w:tc>
          <w:tcPr>
            <w:tcW w:type="pct" w:w="13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contas privilegiadas com MFA ativo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contas privilegiadas com MFA / Nº contas privilegiadas × 100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contas de utilizador com MFA ativo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contas com MFA / Nº contas total × 100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95%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médio de revogação de acessos (ex-colaboradores)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Soma horas revogação / Nº saídas processadas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≤ 4 horas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contas inativas há mais de 90 dias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KRI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contas inativas ≥ 90 dias / Nº contas total × 100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≤ 1%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tentativas de acesso com credenciais inválidas (diário)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KRI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Contagem de eventos de falha de autenticação no período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Linha de base ± 20%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</w:t>
            </w:r>
          </w:p>
        </w:tc>
      </w:tr>
    </w:tbl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5.4 Domínio: Gestão de vulnerabilidades e patches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Domínio</w:t>
            </w:r>
          </w:p>
        </w:tc>
        <w:tc>
          <w:tcPr>
            <w:tcW w:type="pct" w:w="2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Indicador</w:t>
            </w:r>
          </w:p>
        </w:tc>
        <w:tc>
          <w:tcPr>
            <w:tcW w:type="pct" w:w="8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pct" w:w="3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Fórmula / Descrição</w:t>
            </w:r>
          </w:p>
        </w:tc>
        <w:tc>
          <w:tcPr>
            <w:tcW w:type="pct" w:w="1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Meta</w:t>
            </w:r>
          </w:p>
        </w:tc>
        <w:tc>
          <w:tcPr>
            <w:tcW w:type="pct" w:w="13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Vulnerabilidades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médio de remediação — Crítico (CVSS 9-10)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Soma dias remediação CVE crítico / Nº CVEs críticos remediados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≤ 15 dias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Vulnerabilidades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médio de remediação — Alto (CVSS 7-8.9)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Soma dias remediação CVE alto / Nº CVEs altos remediados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≤ 30 dias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Vulnerabilidades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patches críticos aplicados dentro do SLA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patches críticos em SLA / Nº patches críticos total × 100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95%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Vulnerabilidades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sistemas com varredura de vulnerabilidades atualizada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sistemas varridos nos últimos 30 dias / Nº sistemas no âmbito × 100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Vulnerabilidades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CVEs críticos sem remediação há mais de 15 dias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KRI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Contagem de CVEs CVSS ≥ 9 sem patch ou mitigação documentada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</w:t>
            </w:r>
          </w:p>
        </w:tc>
      </w:tr>
    </w:tbl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5.5 Domínio: Formação e sensibilização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Domínio</w:t>
            </w:r>
          </w:p>
        </w:tc>
        <w:tc>
          <w:tcPr>
            <w:tcW w:type="pct" w:w="2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Indicador</w:t>
            </w:r>
          </w:p>
        </w:tc>
        <w:tc>
          <w:tcPr>
            <w:tcW w:type="pct" w:w="8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pct" w:w="3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Fórmula / Descrição</w:t>
            </w:r>
          </w:p>
        </w:tc>
        <w:tc>
          <w:tcPr>
            <w:tcW w:type="pct" w:w="1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Meta</w:t>
            </w:r>
          </w:p>
        </w:tc>
        <w:tc>
          <w:tcPr>
            <w:tcW w:type="pct" w:w="13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Formação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colaboradores com formação obrigatória NIS2 concluída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colaboradores com formação / Nº colaboradores no âmbito × 100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95%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Formação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Taxa de sucesso em simulações de phishing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 - (Nº cliques em phishing / Nº emails enviados × 100)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85%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Formação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Taxa de reporte de phishing pelos utilizadores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emails phishing reportados / Nº emails phishing recebidos × 100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60%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Formação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colaboradores com acesso a sistemas críticos com formação específica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com formação específica / Nº com acesso a sistemas críticos × 100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</w:t>
            </w:r>
          </w:p>
        </w:tc>
      </w:tr>
    </w:tbl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5.6 Domínio: Continuidade de negócio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Domínio</w:t>
            </w:r>
          </w:p>
        </w:tc>
        <w:tc>
          <w:tcPr>
            <w:tcW w:type="pct" w:w="2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Indicador</w:t>
            </w:r>
          </w:p>
        </w:tc>
        <w:tc>
          <w:tcPr>
            <w:tcW w:type="pct" w:w="8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pct" w:w="3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Fórmula / Descrição</w:t>
            </w:r>
          </w:p>
        </w:tc>
        <w:tc>
          <w:tcPr>
            <w:tcW w:type="pct" w:w="1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Meta</w:t>
            </w:r>
          </w:p>
        </w:tc>
        <w:tc>
          <w:tcPr>
            <w:tcW w:type="pct" w:w="13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Continuidade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testes de continuidade realizados com sucesso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testes bem-sucedidos / Nº testes planeados × 100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Continuidade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RPO efetivo vs RPO objetivo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Diferença entre RPO medido em teste e RPO definido em contrato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0 horas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Continuidade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RTO efetivo vs RTO objetivo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Diferença entre RTO medido em teste e RTO definido em contrato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0 horas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Continuidade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backups verificados e restaurados com sucesso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backups restaurados com sucesso / Nº backups testados × 100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</w:tbl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5.7 Domínio: Segurança na cadeia de fornecimento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Domínio</w:t>
            </w:r>
          </w:p>
        </w:tc>
        <w:tc>
          <w:tcPr>
            <w:tcW w:type="pct" w:w="2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Indicador</w:t>
            </w:r>
          </w:p>
        </w:tc>
        <w:tc>
          <w:tcPr>
            <w:tcW w:type="pct" w:w="8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tcW w:type="pct" w:w="3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Fórmula / Descrição</w:t>
            </w:r>
          </w:p>
        </w:tc>
        <w:tc>
          <w:tcPr>
            <w:tcW w:type="pct" w:w="1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Meta</w:t>
            </w:r>
          </w:p>
        </w:tc>
        <w:tc>
          <w:tcPr>
            <w:tcW w:type="pct" w:w="13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Fornecedores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fornecedores críticos avaliados em conformidade NIS2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fornecedores críticos avaliados / Nº fornecedores críticos × 100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Fornecedores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fornecedores com conformidade NIS2 confirmada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fornecedores conformes / Nº fornecedores avaliados × 100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Fornecedores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contratos com cláusulas de segurança atualizadas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contratos com cláusulas / Nº contratos críticos × 100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Fornecedores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Nº fornecedores com avaliação de risco vencida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KRI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Contagem de fornecedores sem reavaliação nos últimos 12 meses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0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Metodologia de recolha de dados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fiabilidade dos indicadores depende diretamente da qualidade e consistência dos dados recolhidos. A [Nome da organização] adota as seguintes práticas de recolha: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 Fontes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Plataforma SIEM (Security Information and Event Management) — logs de segurança, alertas, eventos de autenticação.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 de gestão de vulnerabilidades — resultados de varreduras, estado de remediação, CVSS scores.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Plataforma de gestão de identidade e acessos (IAM/AD) — contas ativas, MFA, datas de último acesso.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 de ticketing de incidentes — datas de abertura, resolução, classificação, notificações.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Plataforma de gestão de patches (WSUS, SCCM, Intune) — estado de conformidade por sistema.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 de Learning Management (LMS) — completude de formações, resultados de simulações phishing.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Registos de testes de continuidade — resultados, RPO/RTO efetivo, desvios identificados.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Plataforma de gestão de riscos — estado dos tratamentos, datas de reavaliação, riscos residuais.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Registos de avaliação de fornecedores — datas de avaliação, classificação de risco, conformidade contratual.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 Automatização da recolha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Sempre que possível, a recolha de dados deve ser automatizada através de APIs, conectores ou scripts agendados. O objetivo é que pelo menos 80% dos indicadores sejam calculados automaticamente, sem intervenção manual, reduzindo o risco de erro humano e aumentando a frequência de atualização.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6.3 Frequência de recolha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Diária — Indicadores operacionais de alta prioridade (alertas SIEM, tentativas de acesso falhado, disponibilidade de sistemas críticos).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Semanal — Indicadores de vulnerabilidades abertas, contas inativas, estado de patches críticos.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Mensal — Maioria dos KPIs de desempenho (MTTD, MTTR, taxa MFA, patches em SLA).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Trimestral — KPIs de formação e sensibilização, métricas de conformidade por domínio.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Anual — KPIs de continuidade, avaliação de fornecedores, revisão global do programa de medição.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6.4 Responsáveis pela recolha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 de operações de segurança (SOC/NOC) — dados operacionais diários e semanais.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Gestor de vulnerabilidades — estado de remediação e patches.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Gestor de identidade e acessos — métricas de controlo de acessos.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Gestor de formação — dados de LMS e simulações phishing.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Gestor de continuidade — resultados de testes e KPIs de backup.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Gestor de fornecedores — avaliações e conformidade da cadeia de fornecimento.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CISO — supervisão global, validação e reporte à gestão de topo.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Análise e interpretação dos resultados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recolha de dados só tem valor se for acompanhada de análise rigorosa e interpretação contextualizada. A [Nome da organização] adota o seguinte sistema de análise: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 Sistema de thresholds (semáforo)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Cada indicador tem três zonas de desempenho associadas a um sistema de cores, permitindo a identificação rápida de áreas problemáticas: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Indicador</w:t>
            </w:r>
          </w:p>
        </w:tc>
        <w:tc>
          <w:tcPr>
            <w:tcW w:type="pct" w:w="2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Verde (Bom)</w:t>
            </w:r>
          </w:p>
        </w:tc>
        <w:tc>
          <w:tcPr>
            <w:tcW w:type="pct" w:w="2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Amarelo (Atenção)</w:t>
            </w:r>
          </w:p>
        </w:tc>
        <w:tc>
          <w:tcPr>
            <w:tcW w:type="pct" w:w="2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Vermelho (Crítico)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contas privilegiadas com MFA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16a34a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92400e"/>
                <w:sz w:val="22"/>
                <w:szCs w:val="22"/>
                <w:rFonts w:ascii="Calibri" w:cs="Calibri" w:eastAsia="Calibri" w:hAnsi="Calibri"/>
              </w:rPr>
              <w:t xml:space="preserve">90-99%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dc2626"/>
                <w:sz w:val="22"/>
                <w:szCs w:val="22"/>
                <w:rFonts w:ascii="Calibri" w:cs="Calibri" w:eastAsia="Calibri" w:hAnsi="Calibri"/>
              </w:rPr>
              <w:t xml:space="preserve">&lt; 90%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colaboradores com formação NIS2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16a34a"/>
                <w:sz w:val="22"/>
                <w:szCs w:val="22"/>
                <w:rFonts w:ascii="Calibri" w:cs="Calibri" w:eastAsia="Calibri" w:hAnsi="Calibri"/>
              </w:rPr>
              <w:t xml:space="preserve">≥ 95%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92400e"/>
                <w:sz w:val="22"/>
                <w:szCs w:val="22"/>
                <w:rFonts w:ascii="Calibri" w:cs="Calibri" w:eastAsia="Calibri" w:hAnsi="Calibri"/>
              </w:rPr>
              <w:t xml:space="preserve">80-94%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dc2626"/>
                <w:sz w:val="22"/>
                <w:szCs w:val="22"/>
                <w:rFonts w:ascii="Calibri" w:cs="Calibri" w:eastAsia="Calibri" w:hAnsi="Calibri"/>
              </w:rPr>
              <w:t xml:space="preserve">&lt; 80%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médio remediação CVE crítico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16a34a"/>
                <w:sz w:val="22"/>
                <w:szCs w:val="22"/>
                <w:rFonts w:ascii="Calibri" w:cs="Calibri" w:eastAsia="Calibri" w:hAnsi="Calibri"/>
              </w:rPr>
              <w:t xml:space="preserve">≤ 15 dias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92400e"/>
                <w:sz w:val="22"/>
                <w:szCs w:val="22"/>
                <w:rFonts w:ascii="Calibri" w:cs="Calibri" w:eastAsia="Calibri" w:hAnsi="Calibri"/>
              </w:rPr>
              <w:t xml:space="preserve">16-30 dias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dc2626"/>
                <w:sz w:val="22"/>
                <w:szCs w:val="22"/>
                <w:rFonts w:ascii="Calibri" w:cs="Calibri" w:eastAsia="Calibri" w:hAnsi="Calibri"/>
              </w:rPr>
              <w:t xml:space="preserve">&gt; 30 dias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patches críticos em SLA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16a34a"/>
                <w:sz w:val="22"/>
                <w:szCs w:val="22"/>
                <w:rFonts w:ascii="Calibri" w:cs="Calibri" w:eastAsia="Calibri" w:hAnsi="Calibri"/>
              </w:rPr>
              <w:t xml:space="preserve">≥ 95%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92400e"/>
                <w:sz w:val="22"/>
                <w:szCs w:val="22"/>
                <w:rFonts w:ascii="Calibri" w:cs="Calibri" w:eastAsia="Calibri" w:hAnsi="Calibri"/>
              </w:rPr>
              <w:t xml:space="preserve">85-94%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dc2626"/>
                <w:sz w:val="22"/>
                <w:szCs w:val="22"/>
                <w:rFonts w:ascii="Calibri" w:cs="Calibri" w:eastAsia="Calibri" w:hAnsi="Calibri"/>
              </w:rPr>
              <w:t xml:space="preserve">&lt; 85%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MTTR — resolução de incidentes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16a34a"/>
                <w:sz w:val="22"/>
                <w:szCs w:val="22"/>
                <w:rFonts w:ascii="Calibri" w:cs="Calibri" w:eastAsia="Calibri" w:hAnsi="Calibri"/>
              </w:rPr>
              <w:t xml:space="preserve">≤ 24h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92400e"/>
                <w:sz w:val="22"/>
                <w:szCs w:val="22"/>
                <w:rFonts w:ascii="Calibri" w:cs="Calibri" w:eastAsia="Calibri" w:hAnsi="Calibri"/>
              </w:rPr>
              <w:t xml:space="preserve">24h-48h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dc2626"/>
                <w:sz w:val="22"/>
                <w:szCs w:val="22"/>
                <w:rFonts w:ascii="Calibri" w:cs="Calibri" w:eastAsia="Calibri" w:hAnsi="Calibri"/>
              </w:rPr>
              <w:t xml:space="preserve">&gt; 48h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incidentes notificados CNCS em 24h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16a34a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92400e"/>
                <w:sz w:val="22"/>
                <w:szCs w:val="22"/>
                <w:rFonts w:ascii="Calibri" w:cs="Calibri" w:eastAsia="Calibri" w:hAnsi="Calibri"/>
              </w:rPr>
              <w:t xml:space="preserve">90-99%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dc2626"/>
                <w:sz w:val="22"/>
                <w:szCs w:val="22"/>
                <w:rFonts w:ascii="Calibri" w:cs="Calibri" w:eastAsia="Calibri" w:hAnsi="Calibri"/>
              </w:rPr>
              <w:t xml:space="preserve">&lt; 90%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fornecedores avaliados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16a34a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92400e"/>
                <w:sz w:val="22"/>
                <w:szCs w:val="22"/>
                <w:rFonts w:ascii="Calibri" w:cs="Calibri" w:eastAsia="Calibri" w:hAnsi="Calibri"/>
              </w:rPr>
              <w:t xml:space="preserve">85-99%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dc2626"/>
                <w:sz w:val="22"/>
                <w:szCs w:val="22"/>
                <w:rFonts w:ascii="Calibri" w:cs="Calibri" w:eastAsia="Calibri" w:hAnsi="Calibri"/>
              </w:rPr>
              <w:t xml:space="preserve">&lt; 85%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backups restaurados com sucesso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16a34a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92400e"/>
                <w:sz w:val="22"/>
                <w:szCs w:val="22"/>
                <w:rFonts w:ascii="Calibri" w:cs="Calibri" w:eastAsia="Calibri" w:hAnsi="Calibri"/>
              </w:rPr>
              <w:t xml:space="preserve">90-99%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dc2626"/>
                <w:sz w:val="22"/>
                <w:szCs w:val="22"/>
                <w:rFonts w:ascii="Calibri" w:cs="Calibri" w:eastAsia="Calibri" w:hAnsi="Calibri"/>
              </w:rPr>
              <w:t xml:space="preserve">&lt; 90%</w:t>
            </w:r>
          </w:p>
        </w:tc>
      </w:tr>
    </w:tbl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 Análise de tendências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Além da avaliação pontual de cada indicador, é fundamental analisar a evolução ao longo do tempo. Um indicador em zona verde mas com tendência decrescente deve ser monitorizado com maior atenção. A análise de tendências deve cobrir pelo menos os últimos 12 meses para identificar sazonalidades e padrões.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7.3 Contextualização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valores de um indicador devem sempre ser interpretados no seu contexto: alterações de infraestrutura, projetos de migração, variações de pessoal, alterações regulatórias e eventos externos (incidentes no setor) podem influenciar os resultados. O responsável pelo indicador deve documentar os fatores contextuais relevantes no relatório mensal.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Sistema de relatórios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O Art. 26.º n.º 3 do DL 125/2025 exige que a gestão de topo seja regularmente informada sobre o estado da cibersegurança organizacional, incluindo a eficácia das medidas implementadas.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[Nome da organização] adota três níveis de relatórios de eficácia, adaptados ao respetivo público e finalidade: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 de Relatório</w:t>
            </w:r>
          </w:p>
        </w:tc>
        <w:tc>
          <w:tcPr>
            <w:tcW w:type="pct" w:w="1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</w:t>
            </w:r>
          </w:p>
        </w:tc>
        <w:tc>
          <w:tcPr>
            <w:tcW w:type="pct" w:w="2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Destinatários</w:t>
            </w:r>
          </w:p>
        </w:tc>
        <w:tc>
          <w:tcPr>
            <w:tcW w:type="pct" w:w="4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Conteúdo Principal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Dashboard Operacional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Diário / Semanal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SOC, Equipa de Segurança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Alertas em tempo real, estado de patches críticos, tentativas de intrusão, disponibilidade de sistemas críticos.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Tático Mensal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CISO, Gestores de área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KPIs por domínio com semáforo, desvios vs mês anterior, incidentes do período, vulnerabilidades abertas, ações corretivas em curso.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Estratégico Trimestral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Trimestral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Conselho de Administração, DPO, Compliance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Visão executiva do estado de conformidade NIS2, tendências anualizadas, investimentos recomendados, riscos estratégicos, comparação com benchmarks do setor.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Anual de Eficácia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Anual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topo, Auditor interno/externo, CNCS (se solicitado)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Avaliação completa do programa de medição, resultados vs metas anuais, revisão dos indicadores, plano de melhoria para o ano seguinte.</w:t>
            </w:r>
          </w:p>
        </w:tc>
      </w:tr>
    </w:tbl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 Formato e distribuição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Dashboard operacional — Plataforma SIEM/SOAR com alertas em tempo real, acessível à equipa de segurança.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mensal — Documento PDF gerado automaticamente, distribuído via email seguro.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estratégico — Apresentação executiva (PowerPoint), apresentada em reunião de gestão.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anual — Documento formal em Word/PDF, arquivado e disponível para auditoria.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Revisão e atualização dos indicadores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catálogo de KPIs não é estático — deve ser revisto e atualizado regularmente para refletir a evolução do ambiente de ameaças, as alterações regulatórias e o aumento de maturidade da organização.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 Revisão anual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catálogo de KPIs deve ser revisto no primeiro trimestre de cada ano, incorporando as lições aprendidas dos incidentes do ano anterior.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metas de cada indicador devem ser ajustadas com base no desempenho histórico e nos objetivos estratégicos definidos pela gestão.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Indicadores que se mantenham consistentemente em zona verde por dois ou mais anos podem ser substituídos por indicadores mais exigentes.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Novos requisitos regulatórios (circulares do CNCS, atualizações do CIR) devem originar novos indicadores.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 Critérios para revisão intercalar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Ocorrência de um incidente significativo que evidencie a inadequação de um indicador existente.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substancial da infraestrutura ou dos processos de negócio.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Publicação de novos requisitos ou orientações do CNCS, ENISA ou outra autoridade competente.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Resultado de auditoria interna ou externa que identifique lacunas no programa de medição.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Melhoria contínua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medição de eficácia é o motor do ciclo de melhoria contínua do programa de cibersegurança. A [Nome da organização] adota o ciclo PDCA (Plan-Do-Check-Act) como modelo de melhoria contínua: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 Ciclo PDCA aplicado à medição de eficácia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 (Planear) — Definir indicadores, metas, fontes de dados e responsáveis. Estabelecer o plano de medição anual alinhado com os objetivos de segurança.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 (Executar) — Implementar os controlos de segurança, recolher dados, calcular indicadores e elaborar relatórios na frequência definida.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Check (Verificar) — Analisar os resultados, identificar desvios face às metas, avaliar tendências e comparar com benchmarks externos.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Act (Agir) — Implementar ações corretivas para os indicadores em zona vermelha, ajustar metas, rever indicadores inadequados e documentar lições aprendidas.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 Ações corretivas baseadas em métricas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Qualquer indicador que se mantenha em zona vermelha por dois períodos consecutivos deve originar automaticamente a abertura de uma ação corretiva formal, com responsável designado, prazo de resolução e acompanhamento no relatório mensal seguinte. O CISO é responsável por garantir que nenhuma ação corretiva fica sem resposta.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10.3 Lições aprendidas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Após cada incidente significativo, e após cada ciclo anual de revisão, deve ser realizada uma sessão de lições aprendidas documentada. As conclusões devem alimentar a revisão do catálogo de KPIs e do programa de formação, garantindo que a organização aprende com os seus erros e sucessos.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Papéis e responsabilidades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O Art. 20.º da Diretiva NIS2 e o Art. 15.º do DL 125/2025 estabelecem que a gestão de topo é responsável pela supervisão da implementação das medidas de cibersegurança, incluindo a aprovação das métricas de eficácia e dos relatórios de resultados.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Papel</w:t>
            </w:r>
          </w:p>
        </w:tc>
        <w:tc>
          <w:tcPr>
            <w:tcW w:type="pct" w:w="5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Responsabilidades</w:t>
            </w:r>
          </w:p>
        </w:tc>
        <w:tc>
          <w:tcPr>
            <w:tcW w:type="pct" w:w="2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Prestação de contas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 (Chief Information Security Officer)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Supervisionar o programa de medição; validar o catálogo de KPIs; aprovar relatórios mensais e trimestrais; propor ações corretivas; apresentar resultados à gestão de topo.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Conselho de Administração / CEO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Proprietários de métricas (Metric Owners)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Assegurar a recolha de dados na frequência definida; garantir a qualidade e integridade dos dados; documentar fatores contextuais relevantes; implementar ações corretivas no âmbito da sua área.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Equipa de operações de segurança (SOC)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Alimentar o SIEM e demais plataformas com dados de qualidade; gerar dashboards operacionais; escalar anomalias relevantes; participar na análise de tendências.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Gestor de TI / CTO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Garantir a disponibilidade das fontes de dados técnicas; suportar a automatização da recolha; implementar ações corretivas de natureza técnica.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CEO / COO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topo (Conselho de Administração)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Aprovar o programa de medição e as metas anuais; receber e analisar o relatório estratégico trimestral e o relatório anual; tomar decisões de investimento baseadas nos resultados.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Assembleia Geral / Acionistas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Auditor interno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Verificar a integridade e fiabilidade do processo de medição; auditar amostras de dados de suporte; identificar oportunidades de melhoria do processo.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Conselho de Administração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Aprovação do documento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Papel</w:t>
            </w:r>
          </w:p>
        </w:tc>
        <w:tc>
          <w:tcPr>
            <w:tcW w:type="pct" w:w="3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Nome</w:t>
            </w:r>
          </w:p>
        </w:tc>
        <w:tc>
          <w:tcPr>
            <w:tcW w:type="pct" w:w="1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tcW w:type="pct" w:w="2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Assinatura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DPO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Conselho de Administração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Metodologia de Medição de Eficácia — Art. 21(2)(f) NIS2 | DL 125/2025 | CIR 2024/2690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2026-03-18T13:34:03.909Z</dcterms:created>
  <dcterms:modified xsi:type="dcterms:W3CDTF">2026-03-18T13:34:03.909Z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