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</w:pPr>
    </w:p>
    <w:p>
      <w:pPr>
        <w:spacing w:after="600"/>
        <w:jc w:val="center"/>
      </w:pPr>
      <w:r>
        <w:rPr>
          <w:i/>
          <w:iCs/>
          <w:color w:val="9ca3af"/>
          <w:sz w:val="22"/>
          <w:szCs w:val="22"/>
          <w:rFonts w:ascii="Calibri" w:cs="Calibri" w:eastAsia="Calibri" w:hAnsi="Calibri"/>
        </w:rPr>
        <w:t xml:space="preserve">[Nome da organização]</w:t>
      </w:r>
    </w:p>
    <w:p>
      <w:pPr>
        <w:spacing w:after="300"/>
        <w:jc w:val="center"/>
      </w:pPr>
      <w:r>
        <w:rPr>
          <w:b/>
          <w:bCs/>
          <w:color w:val="1e3a8a"/>
          <w:sz w:val="28"/>
          <w:szCs w:val="28"/>
          <w:rFonts w:ascii="Calibri" w:cs="Calibri" w:eastAsia="Calibri" w:hAnsi="Calibri"/>
        </w:rPr>
        <w:t xml:space="preserve">Deliberação de nomeação do responsável de cibersegurança e do ponto de contacto permanente</w:t>
      </w:r>
    </w:p>
    <w:p>
      <w:pPr>
        <w:spacing w:after="1200"/>
        <w:jc w:val="center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Art. 31.º e Art. 32.º do DL 125/2025; Regulamento 756/2026, art. 14.º e art. 15.º</w:t>
      </w:r>
    </w:p>
    <w:p>
      <w:pPr>
        <w:spacing w:after="160"/>
        <w:jc w:val="center"/>
      </w:pPr>
      <w:r>
        <w:rPr>
          <w:b/>
          <w:bCs/>
          <w:color w:val="374151"/>
          <w:sz w:val="22"/>
          <w:szCs w:val="22"/>
          <w:rFonts w:ascii="Calibri" w:cs="Calibri" w:eastAsia="Calibri" w:hAnsi="Calibri"/>
        </w:rPr>
        <w:t xml:space="preserve">Versão: </w:t>
      </w:r>
      <w:r>
        <w:rPr>
          <w:color w:val="374151"/>
          <w:sz w:val="22"/>
          <w:szCs w:val="22"/>
          <w:rFonts w:ascii="Calibri" w:cs="Calibri" w:eastAsia="Calibri" w:hAnsi="Calibri"/>
        </w:rPr>
        <w:t xml:space="preserve">1.0</w:t>
      </w:r>
    </w:p>
    <w:p>
      <w:pPr>
        <w:spacing w:after="160"/>
        <w:jc w:val="center"/>
      </w:pPr>
      <w:r>
        <w:rPr>
          <w:b/>
          <w:bCs/>
          <w:color w:val="374151"/>
          <w:sz w:val="22"/>
          <w:szCs w:val="22"/>
          <w:rFonts w:ascii="Calibri" w:cs="Calibri" w:eastAsia="Calibri" w:hAnsi="Calibri"/>
        </w:rPr>
        <w:t xml:space="preserve">Data: </w:t>
      </w:r>
      <w:r>
        <w:rPr>
          <w:color w:val="374151"/>
          <w:sz w:val="22"/>
          <w:szCs w:val="22"/>
          <w:rFonts w:ascii="Calibri" w:cs="Calibri" w:eastAsia="Calibri" w:hAnsi="Calibri"/>
        </w:rPr>
        <w:t xml:space="preserve">14/09/2026</w:t>
      </w:r>
    </w:p>
    <w:p>
      <w:pPr>
        <w:spacing w:after="400"/>
        <w:jc w:val="center"/>
      </w:pPr>
      <w:r>
        <w:rPr>
          <w:b/>
          <w:bCs/>
          <w:color w:val="374151"/>
          <w:sz w:val="22"/>
          <w:szCs w:val="22"/>
          <w:rFonts w:ascii="Calibri" w:cs="Calibri" w:eastAsia="Calibri" w:hAnsi="Calibri"/>
        </w:rPr>
        <w:t xml:space="preserve">Classificação: </w:t>
      </w:r>
      <w:r>
        <w:rPr>
          <w:b/>
          <w:bCs/>
          <w:color w:val="dc2626"/>
          <w:sz w:val="22"/>
          <w:szCs w:val="22"/>
          <w:rFonts w:ascii="Calibri" w:cs="Calibri" w:eastAsia="Calibri" w:hAnsi="Calibri"/>
        </w:rPr>
        <w:t xml:space="preserve">Confidencial</w:t>
      </w:r>
    </w:p>
    <w:p>
      <w:r>
        <w:br w:type="page"/>
      </w:r>
    </w:p>
    <w:p>
      <w:pPr>
        <w:pStyle w:val="Heading2"/>
        <w:spacing w:before="320" w:after="160"/>
      </w:pPr>
      <w:r>
        <w:rPr>
          <w:b/>
          <w:bCs/>
          <w:color w:val="1e3a8a"/>
          <w:sz w:val="28"/>
          <w:szCs w:val="28"/>
          <w:rFonts w:ascii="Calibri" w:cs="Calibri" w:eastAsia="Calibri" w:hAnsi="Calibri"/>
        </w:rPr>
        <w:t xml:space="preserve">Controlo de versões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Versão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Data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Autor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Alterações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Aprovado por</w:t>
            </w:r>
          </w:p>
        </w:tc>
      </w:tr>
      <w:tr>
        <w:tc>
          <w:p>
            <w:r>
              <w:rPr>
                <w:color w:val="374151"/>
                <w:sz w:val="22"/>
                <w:szCs w:val="22"/>
                <w:rFonts w:ascii="Calibri" w:cs="Calibri" w:eastAsia="Calibri" w:hAnsi="Calibri"/>
              </w:rPr>
              <w:t xml:space="preserve">1.0</w:t>
            </w:r>
          </w:p>
        </w:tc>
        <w:tc>
          <w:p>
            <w:r>
              <w:rPr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p>
            <w:r>
              <w:rPr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[Autor]</w:t>
            </w:r>
          </w:p>
        </w:tc>
        <w:tc>
          <w:p>
            <w:r>
              <w:rPr>
                <w:color w:val="374151"/>
                <w:sz w:val="22"/>
                <w:szCs w:val="22"/>
                <w:rFonts w:ascii="Calibri" w:cs="Calibri" w:eastAsia="Calibri" w:hAnsi="Calibri"/>
              </w:rPr>
              <w:t xml:space="preserve">Versão inicial</w:t>
            </w:r>
          </w:p>
        </w:tc>
        <w:tc>
          <w:p>
            <w:r>
              <w:rPr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[Aprovador]</w:t>
            </w:r>
          </w:p>
        </w:tc>
      </w:tr>
    </w:tbl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Como usar este documento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Este documento formaliza a deliberação do órgão de gestão, direção ou administração da entidade que designa o responsável de cibersegurança (RC) e o(s) elemento(s) que asseguram o ponto de contacto permanente (PCP), exigidos às entidades essenciais e importantes pelo DL 125/2025. Pode ser usado para nomear as duas funções em simultâneo (mesma pessoa ou pessoas distintas) ou apenas uma delas.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Preencher a Secção A (responsável de cibersegurança) e a Secção B (ponto de contacto permanente) — podem recair na mesma pessoa.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Calcular corretamente o prazo de 20 dias úteis de comunicação à autoridade de cibersegurança competente: regra geral a partir do início de funções, ou, para entidades já em atividade à data de entrada em vigor do DL, a partir da notificação da qualificação da entidade pelo CNCS.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Obter as declarações de aceitação das pessoas designadas antes de submeter a comunicação na plataforma MyCiber.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Submeter a comunicação através dos formulários próprios da plataforma MyCiber (Regulamento 756/2026, arts. 14.º e 15.º), incluindo todos os dados de contacto exigidos.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Atualizar este documento sempre que haja substituição do RC ou alteração aos contactos do PCP, e comunicar a alteração à autoridade nos prazos aplicáveis.</w:t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Enquadramento legal</w:t>
      </w:r>
    </w:p>
    <w:p>
      <w:pPr>
        <w:shd w:color="dbeafe" w:val="solid"/>
        <w:spacing w:before="160" w:after="160"/>
        <w:ind w:left="360" w:right="360"/>
      </w:pPr>
      <w:r>
        <w:rPr>
          <w:i/>
          <w:iCs/>
          <w:color w:val="1e3a8a"/>
          <w:sz w:val="22"/>
          <w:szCs w:val="22"/>
          <w:rFonts w:ascii="Calibri" w:cs="Calibri" w:eastAsia="Calibri" w:hAnsi="Calibri"/>
        </w:rPr>
        <w:t xml:space="preserve">Art. 31.º n.º 1 do DL 125/2025: "As entidades essenciais e importantes designam um responsável de cibersegurança para a gestão da cibersegurança e da segurança da informação, que seja titular dos órgãos de gestão, direção ou administração ou lhes responda organicamente e de forma direta."</w:t>
      </w:r>
    </w:p>
    <w:p>
      <w:pPr>
        <w:shd w:color="dbeafe" w:val="solid"/>
        <w:spacing w:before="160" w:after="160"/>
        <w:ind w:left="360" w:right="360"/>
      </w:pPr>
      <w:r>
        <w:rPr>
          <w:i/>
          <w:iCs/>
          <w:color w:val="1e3a8a"/>
          <w:sz w:val="22"/>
          <w:szCs w:val="22"/>
          <w:rFonts w:ascii="Calibri" w:cs="Calibri" w:eastAsia="Calibri" w:hAnsi="Calibri"/>
        </w:rPr>
        <w:t xml:space="preserve">Art. 31.º n.º 2 do DL 125/2025 (funções do RC, pelo menos): "a) Propor as medidas de gestão dos riscos de cibersegurança [...]; b) Prestar informações relativas às medidas de gestão dos riscos de cibersegurança aos órgãos da entidade [...]; c) Auxiliar os órgãos da entidade no cumprimento das medidas de supervisão e de execução [...]; d) Contribuir para a promoção de uma cultura de cibersegurança na entidade [...]; e) Assegurar a gestão de riscos prevista no artigo 29.º; f) Assegurar o cumprimento das obrigações referentes à elaboração do relatório anual nos termos do artigo 30.º; g) Coordenar as ações do ponto de contacto permanente, previstas no artigo 32.º, quando esta função não seja assegurada por si."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Art. 31.º n.º 8: "O exercício das funções de responsável de cibersegurança é compatível com a acumulação de outras funções dentro da mesma entidade, sem prejuízo do disposto no presente artigo." Não há requisito legal de certificação profissional específica nem de independência face à entidade — apenas o reporte direto ou a titularidade de órgão de gestão exigidos pelo n.º 1.</w:t>
      </w:r>
    </w:p>
    <w:p>
      <w:pPr>
        <w:shd w:color="dbeafe" w:val="solid"/>
        <w:spacing w:before="160" w:after="160"/>
        <w:ind w:left="360" w:right="360"/>
      </w:pPr>
      <w:r>
        <w:rPr>
          <w:i/>
          <w:iCs/>
          <w:color w:val="1e3a8a"/>
          <w:sz w:val="22"/>
          <w:szCs w:val="22"/>
          <w:rFonts w:ascii="Calibri" w:cs="Calibri" w:eastAsia="Calibri" w:hAnsi="Calibri"/>
        </w:rPr>
        <w:t xml:space="preserve">Art. 32.º n.º 1 do DL 125/2025: "As entidades essenciais e importantes asseguram a função do ponto de contacto permanente com uma disponibilidade contínua de 24 horas por dia e de sete dias por semana, limitada a períodos de ativação, iniciados e terminados mediante comunicação da autoridade de cibersegurança competente." A disponibilidade 24/7 não é, por isso, permanente em sentido literal, mas ativada e desativada por comunicação da autoridade.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Art. 32.º n.º 2 do DL 125/2025 (funções do PCP): assegurar os fluxos de informação de nível operacional e técnico com a autoridade de cibersegurança competente (alínea a)); a partilha de informação quando ativados planos de emergência de proteção civil com impacto na cibersegurança (alínea b)); a operacionalização dos procedimentos desses planos (alínea c)); e a receção de orientações, recomendações, instruções técnicas e ordens da autoridade (alínea d)). O PCP "pode ser assegurado por um elemento ou uma equipa" (art. 32.º n.º 2).</w:t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Prazo de comunicação: 20 dias úteis — a contar de quê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Regra geral (Art. 31.º n.º 3 e Art. 32.º n.º 3): 20 dias úteis a contar do início de funções da pessoa designada.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Regra especial para entidades já em atividade à data de entrada em vigor do DL 125/2025 (Art. 31.º n.º 4 e Art. 32.º n.º 4): o Regulamento 756/2026 precisa esta contagem — art. 14.º n.º 2 (RC) e art. 15.º n.º 2 (PCP): "o prazo conta-se a partir da notificação da qualificação da entidade, nos termos do n.º 5 do artigo 8.º do mesmo regime." Ou seja, para as entidades já ativas antes da entrada em vigor da lei, o prazo de 20 dias úteis não começa na data de entrada em vigor do DL, mas na data em que o CNCS (ou a autoridade setorial) notifica a entidade da sua qualificação.</w:t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Comunicação à MyCiber e acumulação de funções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Dados a comunicar sobre o responsável de cibersegurança (Regulamento 756/2026, art. 14.º n.º 3): nome, cargo, endereço de correio eletrónico, número de telefone fixo (se aplicável), número de telefone móvel, e despacho ou ato de designação (se aplicável).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Dados a comunicar sobre o ponto de contacto permanente (Regulamento 756/2026, art. 15.º n.º 3): identificação da equipa ou entidade terceira, correio eletrónico principal e alternativo, telefone fixo e móvel principal e alternativo, e outros contactos alternativos.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 mesma pessoa pode acumular as duas funções: o Art. 31.º n.º 2 alínea g) prevê que o RC "coordena as ações do ponto de contacto permanente [...] quando esta função não seja assegurada por si", o que pressupõe a possibilidade de acumulação. Casos especiais: a administração direta pode ter um único RC para vários ministérios (Art. 31.º n.º 6); num grupo empresarial, cada empresa pode ter um elemento de contacto próprio sob coordenação de um RC comum ao grupo (Art. 31.º n.º 7).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Substituição: as alterações ao RC devem ser comunicadas "sem demora injustificada" (Art. 31.º n.º 5); as alterações à informação do PCP devem ser comunicadas "imediatamente" (Art. 32.º n.º 5) — a redação da lei distingue as duas formulações, pelo que este documento as mantém separadas.</w:t>
      </w:r>
    </w:p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Identificação da entidade e da deliberação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6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Valor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Nome da entidade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 da organização]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NIF/NIPC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[Número]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Tipo de entidade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[Essencial / Importante]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Órgão deliberativo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[Conselho de administração / gerência / outro]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Data da reunião/deliberação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[DD/MM/AAAA]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Ata/referência da deliberação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[N.º da ata]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Entidade já em atividade antes de 3 de abril de 2026?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[Sim/Não]</w:t>
            </w:r>
          </w:p>
        </w:tc>
      </w:tr>
    </w:tbl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Secção A — Responsável de cibersegurança</w:t>
      </w:r>
    </w:p>
    <w:p>
      <w:pPr>
        <w:pStyle w:val="Heading2"/>
        <w:spacing w:before="320" w:after="160"/>
      </w:pPr>
      <w:r>
        <w:rPr>
          <w:b/>
          <w:bCs/>
          <w:color w:val="1e3a8a"/>
          <w:sz w:val="28"/>
          <w:szCs w:val="28"/>
          <w:rFonts w:ascii="Calibri" w:cs="Calibri" w:eastAsia="Calibri" w:hAnsi="Calibri"/>
        </w:rPr>
        <w:t xml:space="preserve">A.1. Dados do responsável designado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6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Valor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Nome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 completo]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Cargo na entidade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[Cargo]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Endereço de correio eletrónico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[email]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Telefone fixo (se aplicável)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[Número]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Telefone móvel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[Número]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Despacho/ato de designação (se aplicável)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[Referência]</w:t>
            </w:r>
          </w:p>
        </w:tc>
      </w:tr>
    </w:tbl>
    <w:p>
      <w:pPr>
        <w:pStyle w:val="Heading2"/>
        <w:spacing w:before="320" w:after="160"/>
      </w:pPr>
      <w:r>
        <w:rPr>
          <w:b/>
          <w:bCs/>
          <w:color w:val="1e3a8a"/>
          <w:sz w:val="28"/>
          <w:szCs w:val="28"/>
          <w:rFonts w:ascii="Calibri" w:cs="Calibri" w:eastAsia="Calibri" w:hAnsi="Calibri"/>
        </w:rPr>
        <w:t xml:space="preserve">A.2. Confirmação do vínculo exigido (Art. 31.º n.º 1)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6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Valor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O designado é titular de órgão de gestão, direção ou administração?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[Sim/Não]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Se não, reporta organicamente e de forma direta a esse órgão?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[Sim/Não — descrever a linha de reporte]</w:t>
            </w:r>
          </w:p>
        </w:tc>
      </w:tr>
    </w:tbl>
    <w:p>
      <w:pPr>
        <w:pStyle w:val="Heading2"/>
        <w:spacing w:before="320" w:after="160"/>
      </w:pPr>
      <w:r>
        <w:rPr>
          <w:b/>
          <w:bCs/>
          <w:color w:val="1e3a8a"/>
          <w:sz w:val="28"/>
          <w:szCs w:val="28"/>
          <w:rFonts w:ascii="Calibri" w:cs="Calibri" w:eastAsia="Calibri" w:hAnsi="Calibri"/>
        </w:rPr>
        <w:t xml:space="preserve">A.3. Funções atribuídas (Art. 31.º n.º 2)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a) Propor as medidas de gestão dos riscos de cibersegurança, incluindo ao nível da cadeia de abastecimento.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b) Prestar informações sobre as medidas de gestão dos riscos de cibersegurança aos órgãos de supervisão da entidade.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c) Auxiliar os órgãos da entidade no cumprimento das medidas de supervisão e de execução.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d) Contribuir para a promoção de uma cultura de cibersegurança, propondo ações de formação.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e) Assegurar a gestão de riscos prevista no Art. 29.º.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f) Assegurar o cumprimento das obrigações do relatório anual (Art. 30.º).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g) Coordenar as ações do ponto de contacto permanente, quando esta função não seja assegurada pelo próprio RC.</w:t>
      </w:r>
    </w:p>
    <w:p>
      <w:pPr>
        <w:pStyle w:val="Heading2"/>
        <w:spacing w:before="320" w:after="160"/>
      </w:pPr>
      <w:r>
        <w:rPr>
          <w:b/>
          <w:bCs/>
          <w:color w:val="1e3a8a"/>
          <w:sz w:val="28"/>
          <w:szCs w:val="28"/>
          <w:rFonts w:ascii="Calibri" w:cs="Calibri" w:eastAsia="Calibri" w:hAnsi="Calibri"/>
        </w:rPr>
        <w:t xml:space="preserve">A.4. Cálculo do prazo de comunicação (20 dias úteis)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6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Valor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Regra aplicável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[Regra geral: início de funções / Regra especial: notificação da qualificação]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Data de início de funções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[DD/MM/AAAA]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Data da notificação da qualificação (se aplicável, Art. 8.º n.º 5)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[DD/MM/AAAA ou "não aplicável"]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Data-limite de comunicação (20 dias úteis)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[DD/MM/AAAA]</w:t>
            </w:r>
          </w:p>
        </w:tc>
      </w:tr>
    </w:tbl>
    <w:p>
      <w:pPr>
        <w:pStyle w:val="Heading2"/>
        <w:spacing w:before="320" w:after="160"/>
      </w:pPr>
      <w:r>
        <w:rPr>
          <w:b/>
          <w:bCs/>
          <w:color w:val="1e3a8a"/>
          <w:sz w:val="28"/>
          <w:szCs w:val="28"/>
          <w:rFonts w:ascii="Calibri" w:cs="Calibri" w:eastAsia="Calibri" w:hAnsi="Calibri"/>
        </w:rPr>
        <w:t xml:space="preserve">A.5. Acumulação de funções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6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Valor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O RC acumula também a função de ponto de contacto permanente?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[Sim/Não]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O RC acumula outras funções na entidade (Art. 31.º n.º 8)?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[Descrever]</w:t>
            </w:r>
          </w:p>
        </w:tc>
      </w:tr>
    </w:tbl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Secção B — Ponto de contacto permanente</w:t>
      </w:r>
    </w:p>
    <w:p>
      <w:pPr>
        <w:pStyle w:val="Heading2"/>
        <w:spacing w:before="320" w:after="160"/>
      </w:pPr>
      <w:r>
        <w:rPr>
          <w:b/>
          <w:bCs/>
          <w:color w:val="1e3a8a"/>
          <w:sz w:val="28"/>
          <w:szCs w:val="28"/>
          <w:rFonts w:ascii="Calibri" w:cs="Calibri" w:eastAsia="Calibri" w:hAnsi="Calibri"/>
        </w:rPr>
        <w:t xml:space="preserve">B.1. Identificação da equipa/pessoa/entidade terceira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6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Valor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Identificação (nome, equipa ou entidade terceira)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[Nome/Designação]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Correio eletrónico principal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[email]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Correio eletrónico alternativo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[email]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Telefone fixo principal (se aplicável)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[Número]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Telefone móvel principal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[Número]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Telefone fixo alternativo (se aplicável)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[Número]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Telefone móvel alternativo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[Número]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Outros contactos alternativos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[Ex.: canal de mensagens seguro]</w:t>
            </w:r>
          </w:p>
        </w:tc>
      </w:tr>
    </w:tbl>
    <w:p>
      <w:pPr>
        <w:pStyle w:val="Heading2"/>
        <w:spacing w:before="320" w:after="160"/>
      </w:pPr>
      <w:r>
        <w:rPr>
          <w:b/>
          <w:bCs/>
          <w:color w:val="1e3a8a"/>
          <w:sz w:val="28"/>
          <w:szCs w:val="28"/>
          <w:rFonts w:ascii="Calibri" w:cs="Calibri" w:eastAsia="Calibri" w:hAnsi="Calibri"/>
        </w:rPr>
        <w:t xml:space="preserve">B.2. Funções atribuídas (Art. 32.º n.º 2)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a) Assegurar os fluxos de informação de nível operacional e técnico com a autoridade de cibersegurança competente.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b) Partilhar informação com a autoridade quando estejam ativados planos de emergência de proteção civil com impacto na cibersegurança.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c) Operacionalizar os procedimentos fixados nesses planos de emergência.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d) Receber as orientações, recomendações, instruções técnicas e ordens da autoridade de cibersegurança competente.</w:t>
      </w:r>
    </w:p>
    <w:p>
      <w:pPr>
        <w:pStyle w:val="Heading2"/>
        <w:spacing w:before="320" w:after="160"/>
      </w:pPr>
      <w:r>
        <w:rPr>
          <w:b/>
          <w:bCs/>
          <w:color w:val="1e3a8a"/>
          <w:sz w:val="28"/>
          <w:szCs w:val="28"/>
          <w:rFonts w:ascii="Calibri" w:cs="Calibri" w:eastAsia="Calibri" w:hAnsi="Calibri"/>
        </w:rPr>
        <w:t xml:space="preserve">B.3. Disponibilidade — nota de exatidão legal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 disponibilidade do PCP é de 24 horas por dia e 7 dias por semana, mas limitada a períodos de ativação iniciados e terminados por comunicação da autoridade de cibersegurança competente (Art. 32.º n.º 1) — não uma disponibilidade permanente e ininterrupta em todos os momentos. A tabela seguinte regista os contactos e a forma de assegurar essa disponibilidade quando um período de ativação for comunicado.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Período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Segunda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Terça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Quarta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Quinta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Sexta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Sábado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Domingo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Horário normal (contacto principal)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Contacto alternativo fora de horas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</w:tbl>
    <w:p>
      <w:pPr>
        <w:pStyle w:val="Heading2"/>
        <w:spacing w:before="320" w:after="160"/>
      </w:pPr>
      <w:r>
        <w:rPr>
          <w:b/>
          <w:bCs/>
          <w:color w:val="1e3a8a"/>
          <w:sz w:val="28"/>
          <w:szCs w:val="28"/>
          <w:rFonts w:ascii="Calibri" w:cs="Calibri" w:eastAsia="Calibri" w:hAnsi="Calibri"/>
        </w:rPr>
        <w:t xml:space="preserve">B.4. Cálculo do prazo de comunicação (20 dias úteis)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6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Valor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Regra aplicável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[Regra geral: início de funções / Regra especial: notificação da qualificação]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Data de início de funções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[DD/MM/AAAA]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Data da notificação da qualificação (se aplicável, Art. 8.º n.º 5)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[DD/MM/AAAA ou "não aplicável"]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Data-limite de comunicação (20 dias úteis)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[DD/MM/AAAA]</w:t>
            </w:r>
          </w:p>
        </w:tc>
      </w:tr>
    </w:tbl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Substitutos e procedimento de substituição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6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Valor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Substituto do responsável de cibersegurança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[Nome, se aplicável]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Substituto(s) do ponto de contacto permanente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[Nome(s), se aplicável]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Procedimento de comunicação de substituição do RC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Sem demora injustificada (Art. 31.º n.º 5)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Procedimento de comunicação de alteração ao PCP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Imediatamente (Art. 32.º n.º 5)</w:t>
            </w:r>
          </w:p>
        </w:tc>
      </w:tr>
    </w:tbl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Deliberação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O órgão de gestão, direção ou administração da entidade acima identificada delibera nomear as pessoas indicadas nas secções A e B para o exercício, respetivamente, das funções de responsável de cibersegurança e de ponto de contacto permanente, nos termos dos artigos 31.º e 32.º do DL 125/2025, com efeitos a partir da data de início de funções indicada, obrigando-se a entidade a comunicar esta nomeação à autoridade de cibersegurança competente nos prazos legalmente previstos.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3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7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Preenchimento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Nome do órgão deliberativo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Data da deliberação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Assinatura(s) dos membros do órgão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</w:tbl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Declarações de aceitação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Declaração de aceitação — responsável de cibersegurança: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"Eu, [nome], declaro aceitar o exercício das funções de responsável de cibersegurança da entidade [nome da organização], nos termos do Art. 31.º do DL 125/2025, com efeitos a partir de [DD/MM/AAAA]."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3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7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Preenchimento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Nome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Data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Assinatura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</w:tbl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Declaração de aceitação — ponto de contacto permanente: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"Eu(nós), [nome(s)/equipa], declaro(amos) aceitar o exercício das funções de ponto de contacto permanente da entidade [nome da organização], nos termos do Art. 32.º do DL 125/2025, com efeitos a partir de [DD/MM/AAAA]."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3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7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Preenchimento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Nome(s)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Data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Assinatura(s)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</w:tbl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Anexo — Checklist de verificação e revisão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Confirmei que o RC é titular de órgão de gestão ou lhe reporta organicamente e de forma direta (Art. 31.º n.º 1).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Calculei corretamente o prazo de 20 dias úteis (regra geral ou regra da notificação de qualificação, conforme aplicável).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Obtive as declarações de aceitação assinadas do RC e do(s) elemento(s) do PCP.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Registei todos os dados de contacto exigidos pelo Regulamento 756/2026 (arts. 14.º n.º 3 e 15.º n.º 3).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Submeti a comunicação na plataforma MyCiber através dos formulários próprios.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Defini o procedimento de substituição e os prazos de comunicação de alterações (sem demora injustificada para o RC; imediatamente para o PCP).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Agendei a revisão periódica desta deliberação (recomendação: anual, ou sempre que haja substituição).</w:t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Nota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Este modelo não substitui aconselhamento jurídico. Os requisitos de competência técnica adicionais, se existirem, podem ser definidos por instrução técnica do CNCS ainda não confirmada nesta revisão — a confirmar junto da autoridade de cibersegurança competente.</w:t>
      </w:r>
    </w:p>
    <w:p>
      <w:pPr>
        <w:pStyle w:val="Heading1"/>
      </w:pPr>
      <w:r>
        <w:rPr>
          <w:b/>
          <w:color w:val="1E3A8A"/>
          <w:sz w:val="28"/>
        </w:rPr>
        <w:t>1. Aprovação do documento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256"/>
        <w:gridCol w:w="2256"/>
        <w:gridCol w:w="2256"/>
        <w:gridCol w:w="2256"/>
      </w:tblGrid>
      <w:tr>
        <w:tc>
          <w:tcPr>
            <w:tcW w:type="dxa" w:w="2256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Papel</w:t>
            </w:r>
          </w:p>
        </w:tc>
        <w:tc>
          <w:tcPr>
            <w:tcW w:type="dxa" w:w="2256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Nome</w:t>
            </w:r>
          </w:p>
        </w:tc>
        <w:tc>
          <w:tcPr>
            <w:tcW w:type="dxa" w:w="2256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Cargo</w:t>
            </w:r>
          </w:p>
        </w:tc>
        <w:tc>
          <w:tcPr>
            <w:tcW w:type="dxa" w:w="2256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Data e assinatura</w:t>
            </w:r>
          </w:p>
        </w:tc>
      </w:tr>
      <w:tr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Elaborado por</w:t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[DPO/CISO]</w:t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</w:tr>
      <w:tr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Revisto por</w:t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</w:tr>
      <w:tr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Aprovado por</w:t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Conselho de Administração</w:t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</w:tr>
      <w:tr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Comunicado a</w:t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Todos os colaboradores</w:t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</w:tr>
    </w:tbl>
    <w:p>
      <w:r>
        <w:rPr>
          <w:i/>
          <w:color w:val="374151"/>
          <w:sz w:val="20"/>
        </w:rPr>
        <w:t>Este documento é controlado pelo sistema de gestão documental da organização. Alterações requerem aprovação formal conforme tabela acima. A próxima revisão deve ocorrer até 14/09/2027.</w:t>
      </w:r>
    </w:p>
    <w:p>
      <w:pPr>
        <w:pStyle w:val="Heading1"/>
      </w:pPr>
      <w:r>
        <w:rPr>
          <w:b/>
          <w:color w:val="1E3A8A"/>
          <w:sz w:val="28"/>
        </w:rPr>
        <w:t>2. Glossário</w:t>
      </w:r>
    </w:p>
    <w:p>
      <w:r>
        <w:rPr>
          <w:color w:val="374151"/>
          <w:sz w:val="22"/>
        </w:rPr>
        <w:t>Para facilitar a leitura, apresentam-se os termos técnicos e legais usados ao longo deste documento.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513"/>
        <w:gridCol w:w="4513"/>
      </w:tblGrid>
      <w:tr>
        <w:tc>
          <w:tcPr>
            <w:tcW w:type="dxa" w:w="4513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Termo</w:t>
            </w:r>
          </w:p>
        </w:tc>
        <w:tc>
          <w:tcPr>
            <w:tcW w:type="dxa" w:w="4513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Definição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NIS2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Diretiva (UE) 2022/2555 relativa a medidas destinadas a garantir um elevado nível comum de cibersegurança em toda a União (substitui a NIS de 2016)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DL 125/2025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Decreto-Lei n.º 125/2025, de 4 de dezembro, que transpõe para Portugal a Diretiva NIS2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CNCS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Centro Nacional de Cibersegurança, autoridade competente NIS2 em Portugal (Art. 15.º DL 125/2025)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CERT.PT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Equipa de resposta a incidentes de segurança informática nacional integrada no CNCS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OE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Entidade Essencial (Art. 6.º DL 125/2025) — entidade sujeita a maiores obrigações e supervisão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OI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Entidade Importante (Art. 6.º DL 125/2025) — regime proporcional com supervisão ex-post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SGSI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Sistema de Gestão de Segurança da Informação (ISO/IEC 27001)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CSIRT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Computer Security Incident Response Team — equipa de resposta a incidentes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SOC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Security Operations Centre — centro de operações de segurança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SIEM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Security Information and Event Management — correlação e análise de logs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EDR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Endpoint Detection and Response — deteção e resposta em endpoints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XDR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Extended Detection and Response — deteção estendida (endpoints + rede + cloud)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IAM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Identity and Access Management — gestão de identidades e acessos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PAM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Privileged Access Management — gestão de acessos privilegiados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MFA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Multi-Factor Authentication — autenticação multifator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SSO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Single Sign-On — autenticação única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DLP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Data Loss Prevention — prevenção de fuga de dados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DPIA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Data Protection Impact Assessment (RGPD Art. 35.º) — avaliação de impacto sobre proteção de dados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AIPD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Avaliação de Impacto sobre a Proteção de Dados (equivalente PT-PT do DPIA)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RTO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Recovery Time Objective — tempo máximo de recuperação aceitável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RPO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Recovery Point Objective — perda máxima de dados aceitável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MTTD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Mean Time To Detect — tempo médio de deteção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MTTR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Mean Time To Respond/Recover — tempo médio de resposta ou recuperação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IoC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Indicator of Compromise — indicador de compromisso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TLPT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Threat-Led Penetration Testing — teste de penetração baseado em ameaças (DORA Art. 26.º)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TTP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Tactics, Techniques and Procedures — táticas, técnicas e procedimentos (MITRE ATT&amp;CK)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CVE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Common Vulnerabilities and Exposures — base de dados pública de vulnerabilidades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CVSS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Common Vulnerability Scoring System — sistema de pontuação de vulnerabilidades (0-10)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RGPD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Regulamento Geral sobre a Proteção de Dados (UE 2016/679)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DORA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Digital Operational Resilience Act — Regulamento (UE) 2022/2554 para o setor financeiro</w:t>
            </w:r>
          </w:p>
        </w:tc>
      </w:tr>
    </w:tbl>
    <w:p>
      <w:pPr>
        <w:pStyle w:val="Heading1"/>
      </w:pPr>
      <w:r>
        <w:rPr>
          <w:b/>
          <w:color w:val="1E3A8A"/>
          <w:sz w:val="28"/>
        </w:rPr>
        <w:t>3. Referências a outros templates NIS2</w:t>
      </w:r>
    </w:p>
    <w:p>
      <w:r>
        <w:rPr>
          <w:color w:val="374151"/>
          <w:sz w:val="22"/>
        </w:rPr>
        <w:t>Este template integra-se com o seguinte conjunto de políticas e procedimentos NIS2 disponibilizados em nis2-portugal.com/pages/templates.html: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Política de segurança da informação — documento de cúpula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Plano de resposta a incidentes — procedimento operacional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Matriz de riscos NIS2 — avaliação de riscos Art. 21.º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Plano de continuidade de negócio — BIA + DRP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Política de controlo de acessos — gestão IAM/PAM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Checklist de conformidade Art. 21.º — autoavaliação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Questionário de due diligence de fornecedores — cadeia de abastecimento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Programa de formação e sensibilização — Art. 20.º DL 125/2025</w:t>
      </w:r>
    </w:p>
    <w:p>
      <w:r>
        <w:rPr>
          <w:i/>
          <w:color w:val="374151"/>
          <w:sz w:val="20"/>
        </w:rPr>
        <w:t>Todos os templates referidos estão disponíveis para download gratuito em https://nis2-portugal.com/pages/templates.html. A utilização conjunta garante cobertura completa dos requisitos do Art. 21.º do DL 125/2025.</w:t>
      </w:r>
    </w:p>
    <w:sectPr>
      <w:headerReference w:type="default" r:id="rId6"/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e3a8a" w:sz="6" w:space="1"/>
      </w:pBdr>
      <w:jc w:val="center"/>
    </w:pPr>
    <w:r>
      <w:rPr>
        <w:color w:val="9ca3af"/>
        <w:sz w:val="18"/>
        <w:szCs w:val="18"/>
        <w:rFonts w:ascii="Calibri" w:cs="Calibri" w:eastAsia="Calibri" w:hAnsi="Calibri"/>
      </w:rPr>
      <w:t xml:space="preserve">Confidencial  |  Página </w:t>
    </w:r>
    <w:r>
      <w:rPr>
        <w:color w:val="9ca3af"/>
        <w:sz w:val="18"/>
        <w:szCs w:val="18"/>
        <w:rFonts w:ascii="Calibri" w:cs="Calibri" w:eastAsia="Calibri" w:hAnsi="Calibri"/>
      </w:rPr>
      <w:fldChar w:fldCharType="begin"/>
      <w:instrText xml:space="preserve">PAGE</w:instrText>
      <w:fldChar w:fldCharType="separate"/>
      <w:fldChar w:fldCharType="end"/>
    </w:r>
    <w:r>
      <w:rPr>
        <w:color w:val="9ca3af"/>
        <w:sz w:val="18"/>
        <w:szCs w:val="18"/>
        <w:rFonts w:ascii="Calibri" w:cs="Calibri" w:eastAsia="Calibri" w:hAnsi="Calibri"/>
      </w:rPr>
      <w:t xml:space="preserve"> de </w:t>
    </w:r>
    <w:r>
      <w:rPr>
        <w:color w:val="9ca3af"/>
        <w:sz w:val="18"/>
        <w:szCs w:val="18"/>
        <w:rFonts w:ascii="Calibri" w:cs="Calibri" w:eastAsia="Calibri" w:hAnsi="Calibri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e3a8a" w:sz="6" w:space="1"/>
      </w:pBdr>
      <w:jc w:val="right"/>
    </w:pPr>
    <w:r>
      <w:rPr>
        <w:color w:val="9ca3af"/>
        <w:sz w:val="18"/>
        <w:szCs w:val="18"/>
        <w:rFonts w:ascii="Calibri" w:cs="Calibri" w:eastAsia="Calibri" w:hAnsi="Calibri"/>
      </w:rPr>
      <w:t xml:space="preserve">Nomeação do responsável de cibersegurança e do ponto de contacto permanente — Arts. 31.º e 32.º — DL 125/2025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NIS2 Portugal — nis2-portugal.com</dc:creator>
  <cp:lastModifiedBy>NIS2 Portugal</cp:lastModifiedBy>
  <cp:revision>1</cp:revision>
  <dcterms:created xsi:type="dcterms:W3CDTF">2026-09-14T21:32:18.054Z</dcterms:created>
  <dcterms:modified xsi:type="dcterms:W3CDTF">2026-09-14T21:32:18.054Z</dcterms:modified>
  <dc:title>Nomeacao rc pcp</dc:title>
  <dc:subject>Template NIS2 — conformidade DL 125/2025</dc:subject>
  <cp:keywords>NIS2, DL 125/2025, cibersegurança, conformidade, Portugal</cp:keywords>
  <cp:category>Template NIS2</cp:category>
  <dc:description>Template profissional gratuito disponibilizado em nis2-portugal.com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