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</w:pPr>
    </w:p>
    <w:p>
      <w:pPr>
        <w:spacing w:after="600"/>
        <w:jc w:val="center"/>
      </w:pPr>
      <w:r>
        <w:rPr>
          <w:i/>
          <w:iCs/>
          <w:color w:val="9ca3af"/>
          <w:sz w:val="22"/>
          <w:szCs w:val="22"/>
          <w:rFonts w:ascii="Calibri" w:cs="Calibri" w:eastAsia="Calibri" w:hAnsi="Calibri"/>
        </w:rPr>
        <w:t xml:space="preserve">[Nome da organização]</w:t>
      </w:r>
    </w:p>
    <w:p>
      <w:pPr>
        <w:spacing w:after="300"/>
        <w:jc w:val="center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Atualização da notificação ao CNCS</w:t>
      </w:r>
    </w:p>
    <w:p>
      <w:pPr>
        <w:spacing w:after="1200"/>
        <w:jc w:val="center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Formulário de atualização — Art. 42.º n.º 3 do DL 125/2025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Versão: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1.0</w:t>
      </w:r>
    </w:p>
    <w:p>
      <w:pPr>
        <w:spacing w:after="16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Data: </w:t>
      </w:r>
      <w:r>
        <w:rPr>
          <w:color w:val="374151"/>
          <w:sz w:val="22"/>
          <w:szCs w:val="22"/>
          <w:rFonts w:ascii="Calibri" w:cs="Calibri" w:eastAsia="Calibri" w:hAnsi="Calibri"/>
        </w:rPr>
        <w:t xml:space="preserve">18/03/2026</w:t>
      </w:r>
    </w:p>
    <w:p>
      <w:pPr>
        <w:spacing w:after="400"/>
        <w:jc w:val="center"/>
      </w:pPr>
      <w:r>
        <w:rPr>
          <w:b/>
          <w:bCs/>
          <w:color w:val="374151"/>
          <w:sz w:val="22"/>
          <w:szCs w:val="22"/>
          <w:rFonts w:ascii="Calibri" w:cs="Calibri" w:eastAsia="Calibri" w:hAnsi="Calibri"/>
        </w:rPr>
        <w:t xml:space="preserve">Classificação: </w:t>
      </w:r>
      <w:r>
        <w:rPr>
          <w:b/>
          <w:bCs/>
          <w:color w:val="dc2626"/>
          <w:sz w:val="22"/>
          <w:szCs w:val="22"/>
          <w:rFonts w:ascii="Calibri" w:cs="Calibri" w:eastAsia="Calibri" w:hAnsi="Calibri"/>
        </w:rPr>
        <w:t xml:space="preserve">Confidencial</w:t>
      </w:r>
    </w:p>
    <w:p>
      <w:pPr>
        <w:spacing w:after="200"/>
        <w:jc w:val="center"/>
      </w:pPr>
      <w:r>
        <w:rPr>
          <w:b/>
          <w:bCs/>
          <w:color w:val="dc2626"/>
          <w:sz w:val="36"/>
          <w:szCs w:val="36"/>
          <w:rFonts w:ascii="Calibri" w:cs="Calibri" w:eastAsia="Calibri" w:hAnsi="Calibri"/>
        </w:rPr>
        <w:t xml:space="preserve">URGENTE</w:t>
      </w:r>
    </w:p>
    <w:p>
      <w:r>
        <w:br w:type="page"/>
      </w:r>
    </w:p>
    <w:p>
      <w:pPr>
        <w:pStyle w:val="Heading2"/>
        <w:spacing w:before="320" w:after="160"/>
      </w:pPr>
      <w:r>
        <w:rPr>
          <w:b/>
          <w:bCs/>
          <w:color w:val="1e3a8a"/>
          <w:sz w:val="28"/>
          <w:szCs w:val="28"/>
          <w:rFonts w:ascii="Calibri" w:cs="Calibri" w:eastAsia="Calibri" w:hAnsi="Calibri"/>
        </w:rPr>
        <w:t xml:space="preserve">Controlo de versões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Versão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Autor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Alterações</w:t>
            </w:r>
          </w:p>
        </w:tc>
        <w:tc>
          <w:tcPr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Aprovado por</w:t>
            </w:r>
          </w:p>
        </w:tc>
      </w:tr>
      <w:tr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1.0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[Autor]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Versão inicial</w:t>
            </w:r>
          </w:p>
        </w:tc>
        <w:tc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[Aprovador]</w:t>
            </w:r>
          </w:p>
        </w:tc>
      </w:tr>
    </w:tbl>
    <w:p>
      <w:r>
        <w:br w:type="page"/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1. Referência à notificação inicial</w:t>
      </w:r>
    </w:p>
    <w:p>
      <w:pPr>
        <w:shd w:color="dbeafe" w:val="solid"/>
        <w:spacing w:before="160" w:after="160"/>
        <w:ind w:left="360" w:right="360"/>
      </w:pPr>
      <w:r>
        <w:rPr>
          <w:i/>
          <w:iCs/>
          <w:color w:val="1e3a8a"/>
          <w:sz w:val="22"/>
          <w:szCs w:val="22"/>
          <w:rFonts w:ascii="Calibri" w:cs="Calibri" w:eastAsia="Calibri" w:hAnsi="Calibri"/>
        </w:rPr>
        <w:t xml:space="preserve">Base legal: Art. 42.º n.º 3 do DL 125/2025 — atualização obrigatória ao CNCS no prazo de 72 horas após tomar conhecimento de um incidente significativo, com avaliação preliminar, gravidade e indicadores de compromisso.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Referência da notificação inicial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[INC-AAAA-NNN]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 da notificação inicial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Número desta atualização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[Atualização n.º __]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Data/hora desta atualização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[DD/MM/AAAA HH:MM]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Prazo legal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72 horas após tomar conhecimento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2. Identificação da entidade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Nome da entidade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 da organização]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NIF/NIPC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[Número]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Ponto de contacto (Art. 32.º)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[Nome]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Telefone de contacto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[+351 XXX XXX XXX]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Email de contacto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[email]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3. Atualização da informação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Tipo/categoria confirmada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[Confirmar ou atualizar tipo]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Descrição atualizada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[Atualização da descrição com novos dados]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4. Avaliação de gravidade e impacto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Gravidade confirmada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[Baixa/Média/Alta/Crítica]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Impacto operacional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[Descrever impacto nos serviços e operações]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Impacto financeiro estimado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[Estimativa, se possível]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Número confirmado de utilizadores afetados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[Número atualizado]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Duração do impacto (atualizada)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[Atualizar estimativa]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Impacto transfronteiriço (atualizado)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[Sim/Não, detalhar se sim]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5. Indicadores de exposição a riscos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4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6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Valor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Indicadores de compromisso (IoCs)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[IPs, hashes, domínios, etc.]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Vetores de ataque identificados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[Descrever]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Vulnerabilidades exploradas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[CVE, se conhecidas]</w:t>
            </w:r>
          </w:p>
        </w:tc>
      </w:tr>
    </w:tbl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6. Medidas de atenuação adotadas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[Descrever medidas de contenção, erradicação e recuperação em curso ou concluídas]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7. Próximos passos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[Ações planeadas, prazos estimados de resolução]</w:t>
      </w:r>
    </w:p>
    <w:p>
      <w:pPr>
        <w:pStyle w:val="Heading1"/>
        <w:spacing w:before="400" w:after="200"/>
      </w:pPr>
      <w:r>
        <w:rPr>
          <w:b/>
          <w:bCs/>
          <w:color w:val="1e3a8a"/>
          <w:sz w:val="32"/>
          <w:szCs w:val="32"/>
          <w:rFonts w:ascii="Calibri" w:cs="Calibri" w:eastAsia="Calibri" w:hAnsi="Calibri"/>
        </w:rPr>
        <w:t xml:space="preserve">8. Declaração</w:t>
      </w:r>
    </w:p>
    <w:p>
      <w:pPr>
        <w:spacing w:after="160"/>
      </w:pPr>
      <w:r>
        <w:rPr>
          <w:color w:val="374151"/>
          <w:sz w:val="22"/>
          <w:szCs w:val="22"/>
          <w:rFonts w:ascii="Calibri" w:cs="Calibri" w:eastAsia="Calibri" w:hAnsi="Calibri"/>
        </w:rPr>
        <w:t xml:space="preserve">Declaro que as informações acima são verdadeiras e completas, tanto quanto é do meu conhecimento no momento da notificação.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3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Campo</w:t>
            </w:r>
          </w:p>
        </w:tc>
        <w:tc>
          <w:tcPr>
            <w:tcW w:type="pct" w:w="70%"/>
            <w:shd w:color="1e3a8a" w:val="solid"/>
            <w:vAlign w:val="center"/>
          </w:tcPr>
          <w:p>
            <w:r>
              <w:rPr>
                <w:b/>
                <w:bCs/>
                <w:color w:val="ffffff"/>
                <w:sz w:val="22"/>
                <w:szCs w:val="22"/>
                <w:rFonts w:ascii="Calibri" w:cs="Calibri" w:eastAsia="Calibri" w:hAnsi="Calibri"/>
              </w:rPr>
              <w:t xml:space="preserve">Preenchimento</w:t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Nome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Cargo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Data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  <w:tr>
        <w:tc>
          <w:tcPr>
            <w:shd w:color="f3f4f6" w:val="solid"/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  <w:t xml:space="preserve">Assinatura</w:t>
            </w:r>
          </w:p>
        </w:tc>
        <w:tc>
          <w:tcPr>
            <w:vAlign w:val="center"/>
          </w:tcPr>
          <w:p>
            <w:r>
              <w:rPr>
                <w:color w:val="374151"/>
                <w:sz w:val="22"/>
                <w:szCs w:val="22"/>
                <w:rFonts w:ascii="Calibri" w:cs="Calibri" w:eastAsia="Calibri" w:hAnsi="Calibri"/>
              </w:rPr>
            </w:r>
          </w:p>
        </w:tc>
      </w:tr>
    </w:tbl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1e3a8a" w:sz="6" w:space="1"/>
      </w:pBdr>
      <w:jc w:val="center"/>
    </w:pPr>
    <w:r>
      <w:rPr>
        <w:color w:val="9ca3af"/>
        <w:sz w:val="18"/>
        <w:szCs w:val="18"/>
        <w:rFonts w:ascii="Calibri" w:cs="Calibri" w:eastAsia="Calibri" w:hAnsi="Calibri"/>
      </w:rPr>
      <w:t xml:space="preserve">Confidencial  |  Página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>
      <w:rPr>
        <w:color w:val="9ca3af"/>
        <w:sz w:val="18"/>
        <w:szCs w:val="18"/>
        <w:rFonts w:ascii="Calibri" w:cs="Calibri" w:eastAsia="Calibri" w:hAnsi="Calibri"/>
      </w:rPr>
      <w:t xml:space="preserve"> de </w:t>
    </w:r>
    <w:r>
      <w:rPr>
        <w:color w:val="9ca3af"/>
        <w:sz w:val="18"/>
        <w:szCs w:val="18"/>
        <w:rFonts w:ascii="Calibri" w:cs="Calibri" w:eastAsia="Calibri" w:hAnsi="Calibri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e3a8a" w:sz="6" w:space="1"/>
      </w:pBdr>
      <w:jc w:val="right"/>
    </w:pPr>
    <w:r>
      <w:rPr>
        <w:color w:val="9ca3af"/>
        <w:sz w:val="18"/>
        <w:szCs w:val="18"/>
        <w:rFonts w:ascii="Calibri" w:cs="Calibri" w:eastAsia="Calibri" w:hAnsi="Calibri"/>
      </w:rPr>
      <w:t xml:space="preserve">Atualização da notificação ao CNCS — Art. 42.º n.º 3 — DL 125/2025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updateFields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2026-03-18T13:34:02.255Z</dcterms:created>
  <dcterms:modified xsi:type="dcterms:W3CDTF">2026-03-18T13:34:02.255Z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