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</w:p>
    <w:p>
      <w:pPr>
        <w:spacing w:after="600"/>
        <w:jc w:val="center"/>
      </w:pPr>
      <w:r>
        <w:rPr>
          <w:i/>
          <w:iCs/>
          <w:color w:val="9ca3af"/>
          <w:sz w:val="22"/>
          <w:szCs w:val="22"/>
          <w:rFonts w:ascii="Calibri" w:cs="Calibri" w:eastAsia="Calibri" w:hAnsi="Calibri"/>
        </w:rPr>
        <w:t xml:space="preserve">[Nome da organização]</w:t>
      </w:r>
    </w:p>
    <w:p>
      <w:pPr>
        <w:spacing w:after="300"/>
        <w:jc w:val="center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Notificação de fim de impacto significativo</w:t>
      </w:r>
    </w:p>
    <w:p>
      <w:pPr>
        <w:spacing w:after="1200"/>
        <w:jc w:val="center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Formulário — Art. 43.º do DL 125/2025 (24 horas após o fim do impacto)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Versão: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1.0</w:t>
      </w:r>
    </w:p>
    <w:p>
      <w:pPr>
        <w:spacing w:after="16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Data: </w:t>
      </w:r>
      <w:r>
        <w:rPr>
          <w:color w:val="374151"/>
          <w:sz w:val="22"/>
          <w:szCs w:val="22"/>
          <w:rFonts w:ascii="Calibri" w:cs="Calibri" w:eastAsia="Calibri" w:hAnsi="Calibri"/>
        </w:rPr>
        <w:t xml:space="preserve">14/09/2026</w:t>
      </w:r>
    </w:p>
    <w:p>
      <w:pPr>
        <w:spacing w:after="400"/>
        <w:jc w:val="center"/>
      </w:pPr>
      <w:r>
        <w:rPr>
          <w:b/>
          <w:bCs/>
          <w:color w:val="374151"/>
          <w:sz w:val="22"/>
          <w:szCs w:val="22"/>
          <w:rFonts w:ascii="Calibri" w:cs="Calibri" w:eastAsia="Calibri" w:hAnsi="Calibri"/>
        </w:rPr>
        <w:t xml:space="preserve">Classificação: </w:t>
      </w:r>
      <w:r>
        <w:rPr>
          <w:b/>
          <w:bCs/>
          <w:color w:val="dc2626"/>
          <w:sz w:val="22"/>
          <w:szCs w:val="22"/>
          <w:rFonts w:ascii="Calibri" w:cs="Calibri" w:eastAsia="Calibri" w:hAnsi="Calibri"/>
        </w:rPr>
        <w:t xml:space="preserve">Confidencial</w:t>
      </w:r>
    </w:p>
    <w:p>
      <w:pPr>
        <w:spacing w:after="200"/>
        <w:jc w:val="center"/>
      </w:pPr>
      <w:r>
        <w:rPr>
          <w:b/>
          <w:bCs/>
          <w:color w:val="dc2626"/>
          <w:sz w:val="36"/>
          <w:szCs w:val="36"/>
          <w:rFonts w:ascii="Calibri" w:cs="Calibri" w:eastAsia="Calibri" w:hAnsi="Calibri"/>
        </w:rPr>
        <w:t xml:space="preserve">URGENTE — 24 HORAS</w:t>
      </w:r>
    </w:p>
    <w:p>
      <w:r>
        <w:br w:type="page"/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Controlo de versões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Versão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Autor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Alterações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Aprovado por</w:t>
            </w:r>
          </w:p>
        </w:tc>
      </w:tr>
      <w:tr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1.0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[Autor]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Versão inicial</w:t>
            </w:r>
          </w:p>
        </w:tc>
        <w:tc>
          <w:p>
            <w:r>
              <w:rPr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[Aprovador]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Como usar este documento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documento apoia o preenchimento da notificação de fim de impacto significativo, obrigatória sempre que um incidente notificado à autoridade de cibersegurança competente (CNCS ou autoridade setorial) deixa de ter impacto significativo sobre os serviços da entidade.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Preencher os campos entre parênteses retos com a informação real do incidente.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Submeter através da plataforma eletrónica MyCiber, na área reservada da entidade, no formulário próprio de fim de impacto.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prazo de 24 horas conta a partir do momento em que o impacto termina, não da deteção do incidente.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Depois desta notificação, inicia-se a contagem de 30 dias úteis para o relatório final (Art. 44.º n.º 1).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Se a autoridade solicitar atualizações periódicas porque o incidente ainda está em curso além do prazo do relatório final, usar o template "Relatório intercalar de incidente".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Enquadramento legal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43.º n.º 1 do DL 125/2025: "A notificação do fim de impacto significativo do incidente deve ser submetida à autoridade de cibersegurança competente, sem demora injustificada e dentro do prazo de 24 horas após o fim do impacto."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Art. 43.º n.º 2 do DL 125/2025 (conteúdo mínimo): "a) Atualização da informação transmitida na notificação inicial, caso exista; b) Breve descrição das medidas adotadas para a resolução do incidente; c) Descrição da situação de impacto existente no momento da perda de impacto significativo, nomeadamente: i) Número de utilizadores afetados pela perturbação do serviço; ii) Duração do incidente; iii) Distribuição geográfica [...], incluindo a indicação de impacto transfronteiriço; iv) Tempo estimado para a recuperação total dos serviços."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Canal de submissão: plataforma eletrónica MyCiber, através de formulário próprio disponível na área reservada da entidade (Regulamento 756/2026, art. 20.º n.º 1 alínea b)). Em caso de indisponibilidade técnica da plataforma ou de falta temporária de capacidade operacional própria, é possível recorrer a título excecional ao correio eletrónico ou contacto telefónico da autoridade de cibersegurança competente (Regulamento 756/2026, art. 20.º n.º 4). O contacto geral confirmado do CNCS é (+351) 210 497 400 / cncs@cncs.gov.pt — não confundir com o contacto específico do CERT.PT, (+351) 210 497 399 / cert@cert.pt (os dois números diferem apenas no último dígito). Não foi possível confirmar nesta revisão qual dos dois é o canal de exceção do art. 20.º n.º 4 — a confirmar diretamente no sítio do CNCS.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Caso especial (Art. 41.º n.º 2 do DL 125/2025): "Nos casos em que o incidente é resolvido nas duas horas após a sua deteção, as entidades [...] ficam apenas obrigadas ao envio da notificação do fim de impacto significativo" — dispensando, nesse cenário, a notificação inicial de 24 horas.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Cronologia do ciclo de notificações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documento corresponde à terceira fase do ciclo de notificação de incidentes (destacada na tabela seguinte).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Fase</w:t>
            </w:r>
          </w:p>
        </w:tc>
        <w:tc>
          <w:tcPr>
            <w:tcW w:type="pct" w:w="15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Prazo legal</w:t>
            </w:r>
          </w:p>
        </w:tc>
        <w:tc>
          <w:tcPr>
            <w:tcW w:type="pct" w:w="25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Base legal</w:t>
            </w:r>
          </w:p>
        </w:tc>
        <w:tc>
          <w:tcPr>
            <w:tcW w:type="pct" w:w="38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Contagem do prazo</w:t>
            </w:r>
          </w:p>
        </w:tc>
      </w:tr>
      <w:tr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Notificação inicial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24 horas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Art. 42.º n.º 1 do DL 125/2025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após a conclusão de que existe, ou possa vir a existir, incidente significativo</w:t>
            </w:r>
          </w:p>
        </w:tc>
      </w:tr>
      <w:tr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Atualização (se necessário)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72 horas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Art. 42.º n.º 3 do DL 125/2025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após a verificação do incidente significativo, quando necessário</w:t>
            </w:r>
          </w:p>
        </w:tc>
      </w:tr>
      <w:tr>
        <w:tc>
          <w:tcPr>
            <w:shd w:color="dbeafe" w:val="solid"/>
            <w:vAlign w:val="center"/>
          </w:tcPr>
          <w:p>
            <w:r>
              <w:rPr>
                <w:b/>
                <w:bCs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Notificação de fim de impacto</w:t>
            </w:r>
          </w:p>
        </w:tc>
        <w:tc>
          <w:tcPr>
            <w:shd w:color="dbeafe" w:val="solid"/>
            <w:vAlign w:val="center"/>
          </w:tcPr>
          <w:p>
            <w:r>
              <w:rPr>
                <w:b/>
                <w:bCs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24 horas</w:t>
            </w:r>
          </w:p>
        </w:tc>
        <w:tc>
          <w:tcPr>
            <w:shd w:color="dbeafe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Art. 43.º n.º 1 do DL 125/2025</w:t>
            </w:r>
          </w:p>
        </w:tc>
        <w:tc>
          <w:tcPr>
            <w:shd w:color="dbeafe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após o fim do impacto significativo — ESTE DOCUMENTO</w:t>
            </w:r>
          </w:p>
        </w:tc>
      </w:tr>
      <w:tr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Relatório final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30 dias úteis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Art. 44.º n.º 1 do DL 125/2025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 contar da notificação do fim de impacto significativo</w:t>
            </w:r>
          </w:p>
        </w:tc>
      </w:tr>
    </w:tbl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1. Identificação do incidente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Referência do incidente (plataforma MyCiber)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[INC-AAAA-NNN]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Data/hora da notificação inicial (se aplicável)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 HH:MM]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Notificação inicial dispensada (Art. 41.º n.º 2)?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 / Não — indicar se resolvido em 2h após deteção]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Data/hora da atualização de 72h (se aplicável)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 HH:MM ou "não aplicável"]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Data/hora do fim do impacto significativo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 HH:MM]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Data/hora desta notificação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[DD/MM/AAAA HH:MM]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2. Identificação da entidade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 da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 da organização]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NIF/NIPC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Tipo de entidade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[Essencial / Importante / Pública relevante]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Setor/subsector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[Setor]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Ponto de contacto permanente (Art. 32.º)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[Nome, email, telefone]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Classe/tipo do incidente (taxonomia CNCS/RNCSIRT)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[Ver "Ficha de avaliação de significância do incidente"]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3. Atualização da informação da notificação inicial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Base legal: Art. 43.º n.º 2 alínea a) do DL 125/2025.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[Descrever o que mudou face à notificação inicial: novos factos apurados, correções à descrição do incidente, revisão da classe e do tipo de incidente segundo a taxonomia do CNCS/RNCSIRT (ex.: Código Malicioso, Disponibilidade, Intrusão, Segurança da Informação — ver o template "Ficha de avaliação de significância do incidente" para a tabela completa). Se não houve notificação inicial (caso do Art. 41.º n.º 2), indicar "não aplicável".]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4. Medidas adotadas para a resolução do incidente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Base legal: Art. 43.º n.º 2 alínea b) do DL 125/2025.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[Breve descrição das medidas de contenção, erradicação e recuperação que levaram à resolução do incidente.]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5. Situação de impacto no momento da perda de impacto significativo</w:t>
      </w:r>
    </w:p>
    <w:p>
      <w:pPr>
        <w:shd w:color="dbeafe" w:val="solid"/>
        <w:spacing w:before="160" w:after="160"/>
        <w:ind w:left="360" w:right="360"/>
      </w:pPr>
      <w:r>
        <w:rPr>
          <w:i/>
          <w:iCs/>
          <w:color w:val="1e3a8a"/>
          <w:sz w:val="22"/>
          <w:szCs w:val="22"/>
          <w:rFonts w:ascii="Calibri" w:cs="Calibri" w:eastAsia="Calibri" w:hAnsi="Calibri"/>
        </w:rPr>
        <w:t xml:space="preserve">Base legal: Art. 43.º n.º 2 alínea c) do DL 125/2025.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6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Valor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Número de utilizadores afetados pela perturbação do serviço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[Número ou estimativa]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Duração do incidente (do início ao fim do impacto)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[Horas/dias]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Distribuição geográfica da zona afetada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[Concelhos/regiões/países]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Impacto transfronteiriço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[Sim/Não — detalhar Estados-Membros afetados]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Tempo estimado para a recuperação total dos serviços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[Horas/dias, ou "já recuperado integralmente"]</w:t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6. Notificação a outras autoridades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cumprimento da notificação ao CNCS (ou autoridade setorial) não dispensa outras obrigações de notificação a que a entidade esteja sujeita, nomeadamente perante o Ministério Público, a Polícia Judiciária, a CNPD ou outras autoridades setoriais (Art. 40.º n.º 5 do DL 125/2025). Se o incidente envolver dados pessoais, avaliar em separado a notificação à CNPD nos termos do art. 33.º do RGPD, através do formulário próprio disponível em cnpd.pt/databreach/, no prazo de 72 horas a contar do conhecimento da violação — prazo que corre de forma autónoma face aos prazos deste DL. Mesmo que se conclua que a notificação à CNPD não é exigível, a violação de dados pessoais tem de ser documentada internamente (art. 33.º n.º 5 do RGPD).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Autoridade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Data notificação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Referência</w:t>
            </w:r>
          </w:p>
        </w:tc>
        <w:tc>
          <w:tcPr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Estado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CNCS / autoridade setorial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CNPD (se dados pessoais, RGPD art. 33.º)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Ministério Público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Polícia Judiciária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Outras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7. Notas de submissão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Submeter na plataforma MyCiber, associando esta notificação à notificação inicial do mesmo incidente (Regulamento 756/2026, art. 22.º n.º 2).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Se o incidente ainda estiver em curso após o prazo do relatório final e a autoridade solicitar atualizações periódicas, preparar o template "Relatório intercalar de incidente NIS2" com periodicidade semanal.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Guardar comprovativo de submissão e a referência atribuída pela plataforma.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Rever a referência atribuída pela plataforma a esta notificação, para a citar corretamente no relatório final que se segue (Art. 44.º n.º 1).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8. Perguntas frequentes (orientação interna, não substitui a lei)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8.1. O que conta exatamente como "fim do impacto"?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[Orientação interna da entidade: a lei não define "fim do impacto" em termos técnicos precisos. Na prática, considera-se geralmente o momento em que os serviços afetados retomam o funcionamento normal, mesmo que ações de erradicação ou de melhoria continuem em curso. Documentar aqui o critério interno adotado.]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8.2. E se o impacto significativo reaparecer depois desta notificação?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[A lei não regula expressamente este cenário. Recomenda-se tratar a reincidência como um novo ciclo de notificação (nova notificação inicial de 24 horas), salvo se a entidade concluir tratar-se de uma continuação do mesmo incidente — decisão a documentar e a confirmar, em caso de dúvida, junto da autoridade de cibersegurança competente.]</w:t>
      </w:r>
    </w:p>
    <w:p>
      <w:pPr>
        <w:pStyle w:val="Heading2"/>
        <w:spacing w:before="320" w:after="160"/>
      </w:pPr>
      <w:r>
        <w:rPr>
          <w:b/>
          <w:bCs/>
          <w:color w:val="1e3a8a"/>
          <w:sz w:val="28"/>
          <w:szCs w:val="28"/>
          <w:rFonts w:ascii="Calibri" w:cs="Calibri" w:eastAsia="Calibri" w:hAnsi="Calibri"/>
        </w:rPr>
        <w:t xml:space="preserve">8.3. O que fazer se o prazo de 24 horas for ultrapassado?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[Submeter a notificação assim que possível, registando e justificando o atraso. O Art. 66.º n.º 5 do DL 125/2025 prevê que, salvo dolo, a instauração de processo contraordenacional depende de prévia advertência para cumprimento da obrigação omitida, o que não dispensa a entidade de notificar sem mais demora.]</w:t>
      </w:r>
    </w:p>
    <w:p>
      <w:r>
        <w:br w:type="page"/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Anexo — Checklist de verificação antes de submeter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Confirmei a data/hora exata do fim do impacto significativo (não a data de deteção).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O prazo de 24 horas ainda não expirou, ou registei a justificação do atraso.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Atualizei a informação da notificação inicial (ou assinalei "não aplicável" se dispensada pelo Art. 41.º n.º 2).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Descrevi as medidas adotadas para a resolução do incidente.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Preenchi os quatro elementos da situação de impacto: utilizadores afetados, duração, distribuição geográfica/impacto transfronteiriço, tempo estimado de recuperação total.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Verifiquei se este incidente exige também notificação à CNPD (violação de dados pessoais, RGPD art. 33.º, formulário em cnpd.pt/databreach/) ou a outras autoridades (Ministério Público, Polícia Judiciária), e documentei a decisão mesmo quando a notificação à CNPD não é exigível.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Confirmei a referência da notificação inicial na plataforma MyCiber, para associação correta das notificações do mesmo incidente.</w:t>
      </w:r>
    </w:p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Declaração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Declaro que as informações constantes da presente notificação são verdadeiras e completas, de acordo com o conhecimento disponível no momento da submissão.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3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Campo</w:t>
            </w:r>
          </w:p>
        </w:tc>
        <w:tc>
          <w:tcPr>
            <w:tcW w:type="pct" w:w="70%"/>
            <w:shd w:color="1e3a8a" w:val="solid"/>
            <w:vAlign w:val="center"/>
          </w:tcPr>
          <w:p>
            <w:r>
              <w:rPr>
                <w:b/>
                <w:bCs/>
                <w:color w:val="ffffff"/>
                <w:sz w:val="22"/>
                <w:szCs w:val="22"/>
                <w:rFonts w:ascii="Calibri" w:cs="Calibri" w:eastAsia="Calibri" w:hAnsi="Calibri"/>
              </w:rPr>
              <w:t xml:space="preserve">Preenchimento</w:t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Nome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Cargo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Data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c>
          <w:tcPr>
            <w:shd w:color="f3f4f6" w:val="solid"/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  <w:t xml:space="preserve">Assinatura</w:t>
            </w:r>
          </w:p>
        </w:tc>
        <w:tc>
          <w:tcPr>
            <w:vAlign w:val="center"/>
          </w:tcPr>
          <w:p>
            <w:r>
              <w:rPr>
                <w:b w:val="false"/>
                <w:bCs w:val="false"/>
                <w:color w:val="374151"/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pStyle w:val="Heading1"/>
        <w:spacing w:before="400" w:after="200"/>
      </w:pPr>
      <w:r>
        <w:rPr>
          <w:b/>
          <w:bCs/>
          <w:color w:val="1e3a8a"/>
          <w:sz w:val="32"/>
          <w:szCs w:val="32"/>
          <w:rFonts w:ascii="Calibri" w:cs="Calibri" w:eastAsia="Calibri" w:hAnsi="Calibri"/>
        </w:rPr>
        <w:t xml:space="preserve">Nota</w:t>
      </w:r>
    </w:p>
    <w:p>
      <w:pPr>
        <w:spacing w:after="160"/>
      </w:pPr>
      <w:r>
        <w:rPr>
          <w:color w:val="374151"/>
          <w:sz w:val="22"/>
          <w:szCs w:val="22"/>
          <w:rFonts w:ascii="Calibri" w:cs="Calibri" w:eastAsia="Calibri" w:hAnsi="Calibri"/>
        </w:rPr>
        <w:t xml:space="preserve">Este modelo não substitui aconselhamento jurídico. A submissão à autoridade de cibersegurança competente deve seguir sempre o formulário e os procedimentos em vigor na plataforma MyCiber.</w:t>
      </w:r>
    </w:p>
    <w:p>
      <w:pPr>
        <w:pStyle w:val="Heading1"/>
      </w:pPr>
      <w:r>
        <w:rPr>
          <w:b/>
          <w:color w:val="1E3A8A"/>
          <w:sz w:val="28"/>
        </w:rPr>
        <w:t>9. Aprovação do documento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Papel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Nome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Cargo</w:t>
            </w:r>
          </w:p>
        </w:tc>
        <w:tc>
          <w:tcPr>
            <w:tcW w:type="dxa" w:w="2256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Data e assinatura</w:t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Elaborado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[DPO/CISO]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Revisto por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Aprovado por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Conselho de Administração</w:t>
            </w:r>
          </w:p>
        </w:tc>
        <w:tc>
          <w:tcPr>
            <w:tcW w:type="dxa" w:w="2256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  <w:tr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Comunicado a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Todos os colaboradores</w:t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  <w:tc>
          <w:tcPr>
            <w:tcW w:type="dxa" w:w="2256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</w:r>
          </w:p>
        </w:tc>
      </w:tr>
    </w:tbl>
    <w:p>
      <w:r>
        <w:rPr>
          <w:i/>
          <w:color w:val="374151"/>
          <w:sz w:val="20"/>
        </w:rPr>
        <w:t>Este documento é controlado pelo sistema de gestão documental da organização. Alterações requerem aprovação formal conforme tabela acima. A próxima revisão deve ocorrer até 14/09/2027.</w:t>
      </w:r>
    </w:p>
    <w:p>
      <w:pPr>
        <w:pStyle w:val="Heading1"/>
      </w:pPr>
      <w:r>
        <w:rPr>
          <w:b/>
          <w:color w:val="1E3A8A"/>
          <w:sz w:val="28"/>
        </w:rPr>
        <w:t>10. Glossário</w:t>
      </w:r>
    </w:p>
    <w:p>
      <w:r>
        <w:rPr>
          <w:color w:val="374151"/>
          <w:sz w:val="22"/>
        </w:rPr>
        <w:t>Para facilitar a leitura, apresentam-se os termos técnicos e legais usados ao longo deste documento.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Termo</w:t>
            </w:r>
          </w:p>
        </w:tc>
        <w:tc>
          <w:tcPr>
            <w:tcW w:type="dxa" w:w="4513"/>
            <w:shd w:val="clear" w:color="auto" w:fill="1E3A8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FFFFFF"/>
                <w:sz w:val="20"/>
              </w:rPr>
              <w:t>Definição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NIS2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Diretiva (UE) 2022/2555 relativa a medidas destinadas a garantir um elevado nível comum de cibersegurança em toda a União (substitui a NIS de 2016)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 125/2025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Decreto-Lei n.º 125/2025, de 4 de dezembro, que transpõe para Portugal a Diretiva NIS2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CNCS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Centro Nacional de Cibersegurança, autoridade competente NIS2 em Portugal (Art. 15.º DL 125/2025)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CERT.PT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Equipa de resposta a incidentes de segurança informática nacional integrada no CNCS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Essencial (Art. 6.º DL 125/2025) — entidade sujeita a maiores obrigações e supervisão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OI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Entidade Importante (Art. 6.º DL 125/2025) — regime proporcional com supervisão ex-post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SGSI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Sistema de Gestão de Segurança da Informação (ISO/IEC 27001)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CSIRT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Computer Security Incident Response Team — equipa de resposta a incidentes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SOC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Operations Centre — centro de operações de segurança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SIEM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Security Information and Event Management — correlação e análise de logs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EDR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Endpoint Detection and Response — deteção e resposta em endpoints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XDR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Extended Detection and Response — deteção estendida (endpoints + rede + cloud)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IAM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Identity and Access Management — gestão de identidades e acessos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PAM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Privileged Access Management — gestão de acessos privilegiados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MFA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Multi-Factor Authentication — autenticação multifator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SSO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Single Sign-On — autenticação única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DLP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Loss Prevention — prevenção de fuga de dados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DPIA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Data Protection Impact Assessment (RGPD Art. 35.º) — avaliação de impacto sobre proteção de dados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AIPD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Avaliação de Impacto sobre a Proteção de Dados (equivalente PT-PT do DPIA)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RTO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Time Objective — tempo máximo de recuperação aceitável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RPO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Recovery Point Objective — perda máxima de dados aceitável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MTTD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Detect — tempo médio de deteção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MTTR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Mean Time To Respond/Recover — tempo médio de resposta ou recuperação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IoC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Indicator of Compromise — indicador de compromisso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TLPT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Threat-Led Penetration Testing — teste de penetração baseado em ameaças (DORA Art. 26.º)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TTP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Tactics, Techniques and Procedures — táticas, técnicas e procedimentos (MITRE ATT&amp;CK)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CVE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Vulnerabilities and Exposures — base de dados pública de vulnerabilidades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CVSS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Common Vulnerability Scoring System — sistema de pontuação de vulnerabilidades (0-10)</w:t>
            </w:r>
          </w:p>
        </w:tc>
      </w:tr>
      <w:tr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RGPD</w:t>
            </w:r>
          </w:p>
        </w:tc>
        <w:tc>
          <w:tcPr>
            <w:tcW w:type="dxa" w:w="4513"/>
            <w:shd w:val="clear" w:color="auto" w:fill="F9FAFB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Regulamento Geral sobre a Proteção de Dados (UE 2016/679)</w:t>
            </w:r>
          </w:p>
        </w:tc>
      </w:tr>
      <w:tr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/>
                <w:color w:val="374151"/>
                <w:sz w:val="20"/>
              </w:rPr>
              <w:t>DORA</w:t>
            </w:r>
          </w:p>
        </w:tc>
        <w:tc>
          <w:tcPr>
            <w:tcW w:type="dxa" w:w="4513"/>
            <w:shd w:val="clear" w:color="auto"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</w:tcPr>
          <w:p>
            <w:r/>
            <w:r>
              <w:rPr>
                <w:b w:val="0"/>
                <w:color w:val="374151"/>
                <w:sz w:val="20"/>
              </w:rPr>
              <w:t>Digital Operational Resilience Act — Regulamento (UE) 2022/2554 para o setor financeiro</w:t>
            </w:r>
          </w:p>
        </w:tc>
      </w:tr>
    </w:tbl>
    <w:p>
      <w:pPr>
        <w:pStyle w:val="Heading1"/>
      </w:pPr>
      <w:r>
        <w:rPr>
          <w:b/>
          <w:color w:val="1E3A8A"/>
          <w:sz w:val="28"/>
        </w:rPr>
        <w:t>11. Referências a outros templates NIS2</w:t>
      </w:r>
    </w:p>
    <w:p>
      <w:r>
        <w:rPr>
          <w:color w:val="374151"/>
          <w:sz w:val="22"/>
        </w:rPr>
        <w:t>Este template integra-se com o seguinte conjunto de políticas e procedimentos NIS2 disponibilizados em nis2-portugal.com/pages/templates.html: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segurança da informação — documento de cúpula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resposta a incidentes — procedimento operacional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Matriz de riscos NIS2 — avaliação de riscos Art. 21.º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Plano de continuidade de negócio — BIA + DRP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Política de controlo de acessos — gestão IAM/PAM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Checklist de conformidade Art. 21.º — autoavaliação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Questionário de due diligence de fornecedores — cadeia de abastecimento</w:t>
      </w:r>
    </w:p>
    <w:p>
      <w:r>
        <w:rPr>
          <w:color w:val="374151"/>
          <w:sz w:val="22"/>
        </w:rPr>
        <w:t xml:space="preserve">• </w:t>
      </w:r>
      <w:r>
        <w:rPr>
          <w:color w:val="374151"/>
          <w:sz w:val="22"/>
        </w:rPr>
        <w:t>Programa de formação e sensibilização — Art. 20.º DL 125/2025</w:t>
      </w:r>
    </w:p>
    <w:p>
      <w:r>
        <w:rPr>
          <w:i/>
          <w:color w:val="374151"/>
          <w:sz w:val="20"/>
        </w:rPr>
        <w:t>Todos os templates referidos estão disponíveis para download gratuito em https://nis2-portugal.com/pages/templates.html. A utilização conjunta garante cobertura completa dos requisitos do Art. 21.º do DL 125/2025.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3a8a" w:sz="6" w:space="1"/>
      </w:pBdr>
      <w:jc w:val="center"/>
    </w:pPr>
    <w:r>
      <w:rPr>
        <w:color w:val="9ca3af"/>
        <w:sz w:val="18"/>
        <w:szCs w:val="18"/>
        <w:rFonts w:ascii="Calibri" w:cs="Calibri" w:eastAsia="Calibri" w:hAnsi="Calibri"/>
      </w:rPr>
      <w:t xml:space="preserve">Confidencial  |  Página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color w:val="9ca3af"/>
        <w:sz w:val="18"/>
        <w:szCs w:val="18"/>
        <w:rFonts w:ascii="Calibri" w:cs="Calibri" w:eastAsia="Calibri" w:hAnsi="Calibri"/>
      </w:rPr>
      <w:t xml:space="preserve"> de </w:t>
    </w:r>
    <w:r>
      <w:rPr>
        <w:color w:val="9ca3af"/>
        <w:sz w:val="18"/>
        <w:szCs w:val="18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e3a8a" w:sz="6" w:space="1"/>
      </w:pBdr>
      <w:jc w:val="right"/>
    </w:pPr>
    <w:r>
      <w:rPr>
        <w:color w:val="9ca3af"/>
        <w:sz w:val="18"/>
        <w:szCs w:val="18"/>
        <w:rFonts w:ascii="Calibri" w:cs="Calibri" w:eastAsia="Calibri" w:hAnsi="Calibri"/>
      </w:rPr>
      <w:t xml:space="preserve">Notificação de fim de impacto significativo — Art. 43.º — DL 125/2025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NIS2 Portugal — nis2-portugal.com</dc:creator>
  <cp:lastModifiedBy>NIS2 Portugal</cp:lastModifiedBy>
  <cp:revision>1</cp:revision>
  <dcterms:created xsi:type="dcterms:W3CDTF">2026-09-14T22:08:48.010Z</dcterms:created>
  <dcterms:modified xsi:type="dcterms:W3CDTF">2026-09-14T22:08:48.010Z</dcterms:modified>
  <dc:title>Notificacao fim impacto</dc:title>
  <dc:subject>Template NIS2 — conformidade DL 125/2025</dc:subject>
  <cp:keywords>NIS2, DL 125/2025, cibersegurança, conformidade, Portugal</cp:keywords>
  <cp:category>Template NIS2</cp:category>
  <dc:description>Template profissional gratuito disponibilizado em nis2-portugal.com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