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Plano de auditoria interna de cibersegurança</w:t>
      </w:r>
    </w:p>
    <w:p>
      <w:pPr>
        <w:spacing w:after="1200"/>
        <w:jc w:val="center"/>
      </w:pPr>
      <w:r>
        <w:rPr>
          <w:color w:val="374151"/>
          <w:sz w:val="22"/>
          <w:szCs w:val="22"/>
          <w:rFonts w:ascii="Calibri" w:cs="Calibri" w:eastAsia="Calibri" w:hAnsi="Calibri"/>
        </w:rPr>
        <w:t xml:space="preserve">Conformidade com o Decreto-Lei n.º 125/2025 (NIS2) — Art. 25.º e Art. 27.º</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Objetivo</w:t>
      </w:r>
    </w:p>
    <w:p>
      <w:pPr>
        <w:spacing w:after="160"/>
      </w:pPr>
      <w:r>
        <w:rPr>
          <w:color w:val="374151"/>
          <w:sz w:val="22"/>
          <w:szCs w:val="22"/>
          <w:rFonts w:ascii="Calibri" w:cs="Calibri" w:eastAsia="Calibri" w:hAnsi="Calibri"/>
        </w:rPr>
        <w:t xml:space="preserve">O presente plano de auditoria interna de cibersegurança estabelece o programa anual de auditorias internas a realizar por [Nome da organização] para verificar a conformidade com o Decreto-Lei n.º 125/2025, com a norma ISO/IEC 27001 e com os demais requisitos legais e regulamentares aplicáveis em matéria de cibersegurança e proteção de dados.</w:t>
      </w:r>
    </w:p>
    <w:p>
      <w:pPr>
        <w:spacing w:after="160"/>
      </w:pPr>
      <w:r>
        <w:rPr>
          <w:color w:val="374151"/>
          <w:sz w:val="22"/>
          <w:szCs w:val="22"/>
          <w:rFonts w:ascii="Calibri" w:cs="Calibri" w:eastAsia="Calibri" w:hAnsi="Calibri"/>
        </w:rPr>
        <w:t xml:space="preserve">As auditorias internas de cibersegurança constituem um mecanismo fundamental de controlo e melhoria contínua do Sistema de Gestão de Segurança da Informação (SGSI), permitindo identificar não conformidades, avaliar a efetividade dos controlos implementados e fornecer informação objetiva à gestão de topo para a tomada de decisão.</w:t>
      </w:r>
    </w:p>
    <w:p>
      <w:pPr>
        <w:spacing w:after="160"/>
      </w:pPr>
      <w:r>
        <w:rPr>
          <w:color w:val="374151"/>
          <w:sz w:val="22"/>
          <w:szCs w:val="22"/>
          <w:rFonts w:ascii="Calibri" w:cs="Calibri" w:eastAsia="Calibri" w:hAnsi="Calibri"/>
        </w:rPr>
        <w:t xml:space="preserve">Este plano define o universo de auditoria, a metodologia, os critérios de seleção de auditores, o cronograma anual, os procedimentos de execução, os requisitos de documentação e os processos de follow-up e encerramento de não conformidades.</w:t>
      </w:r>
    </w:p>
    <w:p>
      <w:pPr>
        <w:shd w:color="dbeafe" w:val="solid"/>
        <w:spacing w:before="160" w:after="160"/>
        <w:ind w:left="360" w:right="360"/>
      </w:pPr>
      <w:r>
        <w:rPr>
          <w:i/>
          <w:iCs/>
          <w:color w:val="1e3a8a"/>
          <w:sz w:val="22"/>
          <w:szCs w:val="22"/>
          <w:rFonts w:ascii="Calibri" w:cs="Calibri" w:eastAsia="Calibri" w:hAnsi="Calibri"/>
        </w:rPr>
        <w:t xml:space="preserve">Referências legais: Art. 27.º do DL 125/2025 — obrigação de implementar medidas técnicas, operacionais e organizacionais de gestão de riscos de cibersegurança; Art. 25.º do DL 125/2025 — obrigação de adotar uma abordagem sistemática e documentada para a gestão dos riscos. A realização de auditorias internas regulares é um mecanismo essencial para demonstrar o cumprimento destas obrigações.</w:t>
      </w:r>
    </w:p>
    <w:p>
      <w:pPr>
        <w:pStyle w:val="Heading1"/>
        <w:spacing w:before="400" w:after="200"/>
      </w:pPr>
      <w:r>
        <w:rPr>
          <w:b/>
          <w:bCs/>
          <w:color w:val="1e3a8a"/>
          <w:sz w:val="32"/>
          <w:szCs w:val="32"/>
          <w:rFonts w:ascii="Calibri" w:cs="Calibri" w:eastAsia="Calibri" w:hAnsi="Calibri"/>
        </w:rPr>
        <w:t xml:space="preserve">2. Âmbito</w:t>
      </w:r>
    </w:p>
    <w:p>
      <w:pPr>
        <w:spacing w:after="160"/>
      </w:pPr>
      <w:r>
        <w:rPr>
          <w:color w:val="374151"/>
          <w:sz w:val="22"/>
          <w:szCs w:val="22"/>
          <w:rFonts w:ascii="Calibri" w:cs="Calibri" w:eastAsia="Calibri" w:hAnsi="Calibri"/>
        </w:rPr>
        <w:t xml:space="preserve">O programa de auditoria interna abrange todos os domínios do SGSI de [Nome da organização] relevantes para o cumprimento das obrigações do DL 125/2025 e da norma ISO/IEC 27001, incluindo:</w:t>
      </w:r>
    </w:p>
    <w:p>
      <w:pPr>
        <w:pStyle w:val="ListParagraph"/>
        <w:numPr>
          <w:ilvl w:val="0"/>
          <w:numId w:val="1"/>
        </w:numPr>
        <w:spacing w:after="80"/>
      </w:pPr>
      <w:r>
        <w:rPr>
          <w:color w:val="374151"/>
          <w:sz w:val="22"/>
          <w:szCs w:val="22"/>
          <w:rFonts w:ascii="Calibri" w:cs="Calibri" w:eastAsia="Calibri" w:hAnsi="Calibri"/>
        </w:rPr>
        <w:t xml:space="preserve">Políticas e procedimentos de cibersegurança — verificação da existência, adequação e cumprimento efetivo das políticas e procedimentos de segurança documentados</w:t>
      </w:r>
    </w:p>
    <w:p>
      <w:pPr>
        <w:pStyle w:val="ListParagraph"/>
        <w:numPr>
          <w:ilvl w:val="0"/>
          <w:numId w:val="1"/>
        </w:numPr>
        <w:spacing w:after="80"/>
      </w:pPr>
      <w:r>
        <w:rPr>
          <w:color w:val="374151"/>
          <w:sz w:val="22"/>
          <w:szCs w:val="22"/>
          <w:rFonts w:ascii="Calibri" w:cs="Calibri" w:eastAsia="Calibri" w:hAnsi="Calibri"/>
        </w:rPr>
        <w:t xml:space="preserve">Medidas técnicas de segurança — verificação da implementação e efetividade dos controlos técnicos (firewall, antivírus/EDR, gestão de patches, autenticação multifator, encriptação)</w:t>
      </w:r>
    </w:p>
    <w:p>
      <w:pPr>
        <w:pStyle w:val="ListParagraph"/>
        <w:numPr>
          <w:ilvl w:val="0"/>
          <w:numId w:val="1"/>
        </w:numPr>
        <w:spacing w:after="80"/>
      </w:pPr>
      <w:r>
        <w:rPr>
          <w:color w:val="374151"/>
          <w:sz w:val="22"/>
          <w:szCs w:val="22"/>
          <w:rFonts w:ascii="Calibri" w:cs="Calibri" w:eastAsia="Calibri" w:hAnsi="Calibri"/>
        </w:rPr>
        <w:t xml:space="preserve">Gestão de riscos — verificação da adequação do processo de identificação, avaliação e tratamento de riscos de cibersegurança</w:t>
      </w:r>
    </w:p>
    <w:p>
      <w:pPr>
        <w:pStyle w:val="ListParagraph"/>
        <w:numPr>
          <w:ilvl w:val="0"/>
          <w:numId w:val="1"/>
        </w:numPr>
        <w:spacing w:after="80"/>
      </w:pPr>
      <w:r>
        <w:rPr>
          <w:color w:val="374151"/>
          <w:sz w:val="22"/>
          <w:szCs w:val="22"/>
          <w:rFonts w:ascii="Calibri" w:cs="Calibri" w:eastAsia="Calibri" w:hAnsi="Calibri"/>
        </w:rPr>
        <w:t xml:space="preserve">Gestão de incidentes — verificação da adequação dos processos de deteção, resposta e notificação de incidentes de cibersegurança</w:t>
      </w:r>
    </w:p>
    <w:p>
      <w:pPr>
        <w:pStyle w:val="ListParagraph"/>
        <w:numPr>
          <w:ilvl w:val="0"/>
          <w:numId w:val="1"/>
        </w:numPr>
        <w:spacing w:after="80"/>
      </w:pPr>
      <w:r>
        <w:rPr>
          <w:color w:val="374151"/>
          <w:sz w:val="22"/>
          <w:szCs w:val="22"/>
          <w:rFonts w:ascii="Calibri" w:cs="Calibri" w:eastAsia="Calibri" w:hAnsi="Calibri"/>
        </w:rPr>
        <w:t xml:space="preserve">Continuidade de negócio e recuperação de desastres — verificação da adequação e testagem dos planos de continuidade e recuperação</w:t>
      </w:r>
    </w:p>
    <w:p>
      <w:pPr>
        <w:pStyle w:val="ListParagraph"/>
        <w:numPr>
          <w:ilvl w:val="0"/>
          <w:numId w:val="1"/>
        </w:numPr>
        <w:spacing w:after="80"/>
      </w:pPr>
      <w:r>
        <w:rPr>
          <w:color w:val="374151"/>
          <w:sz w:val="22"/>
          <w:szCs w:val="22"/>
          <w:rFonts w:ascii="Calibri" w:cs="Calibri" w:eastAsia="Calibri" w:hAnsi="Calibri"/>
        </w:rPr>
        <w:t xml:space="preserve">Segurança da cadeia de abastecimento — verificação da gestão da segurança dos fornecedores e prestadores de serviços críticos</w:t>
      </w:r>
    </w:p>
    <w:p>
      <w:pPr>
        <w:pStyle w:val="ListParagraph"/>
        <w:numPr>
          <w:ilvl w:val="0"/>
          <w:numId w:val="1"/>
        </w:numPr>
        <w:spacing w:after="80"/>
      </w:pPr>
      <w:r>
        <w:rPr>
          <w:color w:val="374151"/>
          <w:sz w:val="22"/>
          <w:szCs w:val="22"/>
          <w:rFonts w:ascii="Calibri" w:cs="Calibri" w:eastAsia="Calibri" w:hAnsi="Calibri"/>
        </w:rPr>
        <w:t xml:space="preserve">Proteção de dados pessoais — verificação do alinhamento com os requisitos do RGPD e do DL 125/2025</w:t>
      </w:r>
    </w:p>
    <w:p>
      <w:pPr>
        <w:pStyle w:val="ListParagraph"/>
        <w:numPr>
          <w:ilvl w:val="0"/>
          <w:numId w:val="1"/>
        </w:numPr>
        <w:spacing w:after="80"/>
      </w:pPr>
      <w:r>
        <w:rPr>
          <w:color w:val="374151"/>
          <w:sz w:val="22"/>
          <w:szCs w:val="22"/>
          <w:rFonts w:ascii="Calibri" w:cs="Calibri" w:eastAsia="Calibri" w:hAnsi="Calibri"/>
        </w:rPr>
        <w:t xml:space="preserve">Sensibilização e formação em cibersegurança — verificação da adequação e efetividade dos programas de formação</w:t>
      </w:r>
    </w:p>
    <w:p>
      <w:pPr>
        <w:spacing w:after="160"/>
      </w:pPr>
      <w:r>
        <w:rPr>
          <w:color w:val="374151"/>
          <w:sz w:val="22"/>
          <w:szCs w:val="22"/>
          <w:rFonts w:ascii="Calibri" w:cs="Calibri" w:eastAsia="Calibri" w:hAnsi="Calibri"/>
        </w:rPr>
        <w:t xml:space="preserve">O âmbito específico de cada auditoria individual é definido no plano de cada auditoria, elaborado com antecedência mínima de quatro semanas em relação à data de início da auditoria.</w:t>
      </w:r>
    </w:p>
    <w:p>
      <w:pPr>
        <w:pStyle w:val="Heading1"/>
        <w:spacing w:before="400" w:after="200"/>
      </w:pPr>
      <w:r>
        <w:rPr>
          <w:b/>
          <w:bCs/>
          <w:color w:val="1e3a8a"/>
          <w:sz w:val="32"/>
          <w:szCs w:val="32"/>
          <w:rFonts w:ascii="Calibri" w:cs="Calibri" w:eastAsia="Calibri" w:hAnsi="Calibri"/>
        </w:rPr>
        <w:t xml:space="preserve">3. Metodologia de auditoria</w:t>
      </w:r>
    </w:p>
    <w:p>
      <w:pPr>
        <w:spacing w:after="160"/>
      </w:pPr>
      <w:r>
        <w:rPr>
          <w:color w:val="374151"/>
          <w:sz w:val="22"/>
          <w:szCs w:val="22"/>
          <w:rFonts w:ascii="Calibri" w:cs="Calibri" w:eastAsia="Calibri" w:hAnsi="Calibri"/>
        </w:rPr>
        <w:t xml:space="preserve">A metodologia de auditoria interna de cibersegurança adotada por [Nome da organização] baseia-se nas normas ISO 19011 (diretrizes para auditorias de sistemas de gestão), ISO/IEC 27007 (diretrizes para auditorias de SGSI) e nas boas práticas do ISACA para auditoria de TI.</w:t>
      </w:r>
    </w:p>
    <w:p>
      <w:pPr>
        <w:pStyle w:val="Heading2"/>
        <w:spacing w:before="320" w:after="160"/>
      </w:pPr>
      <w:r>
        <w:rPr>
          <w:b/>
          <w:bCs/>
          <w:color w:val="1e3a8a"/>
          <w:sz w:val="28"/>
          <w:szCs w:val="28"/>
          <w:rFonts w:ascii="Calibri" w:cs="Calibri" w:eastAsia="Calibri" w:hAnsi="Calibri"/>
        </w:rPr>
        <w:t xml:space="preserve">3.1. Fases do processo de auditoria</w:t>
      </w:r>
    </w:p>
    <w:p>
      <w:pPr>
        <w:pStyle w:val="ListParagraph"/>
        <w:numPr>
          <w:ilvl w:val="0"/>
          <w:numId w:val="1"/>
        </w:numPr>
        <w:spacing w:after="80"/>
      </w:pPr>
      <w:r>
        <w:rPr>
          <w:color w:val="374151"/>
          <w:sz w:val="22"/>
          <w:szCs w:val="22"/>
          <w:rFonts w:ascii="Calibri" w:cs="Calibri" w:eastAsia="Calibri" w:hAnsi="Calibri"/>
        </w:rPr>
        <w:t xml:space="preserve">Fase 1 — Planeamento: definição do âmbito, objetivos e critérios da auditoria; seleção da equipa auditora; elaboração do plano de auditoria detalhado; preparação de listas de verificação e guiões de entrevista; revisão documental prévia (políticas, procedimentos, relatórios de auditorias anteriores)</w:t>
      </w:r>
    </w:p>
    <w:p>
      <w:pPr>
        <w:pStyle w:val="ListParagraph"/>
        <w:numPr>
          <w:ilvl w:val="0"/>
          <w:numId w:val="1"/>
        </w:numPr>
        <w:spacing w:after="80"/>
      </w:pPr>
      <w:r>
        <w:rPr>
          <w:color w:val="374151"/>
          <w:sz w:val="22"/>
          <w:szCs w:val="22"/>
          <w:rFonts w:ascii="Calibri" w:cs="Calibri" w:eastAsia="Calibri" w:hAnsi="Calibri"/>
        </w:rPr>
        <w:t xml:space="preserve">Fase 2 — Execução: abertura formal da auditoria com reunião de abertura (auditores e auditados); recolha de evidências através de entrevistas, observação direta, revisão documental e testes técnicos; registo de constatações (positivas, não conformidades e oportunidades de melhoria)</w:t>
      </w:r>
    </w:p>
    <w:p>
      <w:pPr>
        <w:pStyle w:val="ListParagraph"/>
        <w:numPr>
          <w:ilvl w:val="0"/>
          <w:numId w:val="1"/>
        </w:numPr>
        <w:spacing w:after="80"/>
      </w:pPr>
      <w:r>
        <w:rPr>
          <w:color w:val="374151"/>
          <w:sz w:val="22"/>
          <w:szCs w:val="22"/>
          <w:rFonts w:ascii="Calibri" w:cs="Calibri" w:eastAsia="Calibri" w:hAnsi="Calibri"/>
        </w:rPr>
        <w:t xml:space="preserve">Fase 3 — Relatório: análise e classificação das constatações; elaboração do relatório preliminar; reunião de encerramento (apresentação das constatações ao auditado para validação factual); elaboração e distribuição do relatório final</w:t>
      </w:r>
    </w:p>
    <w:p>
      <w:pPr>
        <w:pStyle w:val="ListParagraph"/>
        <w:numPr>
          <w:ilvl w:val="0"/>
          <w:numId w:val="1"/>
        </w:numPr>
        <w:spacing w:after="80"/>
      </w:pPr>
      <w:r>
        <w:rPr>
          <w:color w:val="374151"/>
          <w:sz w:val="22"/>
          <w:szCs w:val="22"/>
          <w:rFonts w:ascii="Calibri" w:cs="Calibri" w:eastAsia="Calibri" w:hAnsi="Calibri"/>
        </w:rPr>
        <w:t xml:space="preserve">Fase 4 — Follow-up: acompanhamento da implementação das ações corretivas; verificação da efetividade das ações implementadas; encerramento formal das não conformidades</w:t>
      </w:r>
    </w:p>
    <w:p>
      <w:pPr>
        <w:pStyle w:val="Heading2"/>
        <w:spacing w:before="320" w:after="160"/>
      </w:pPr>
      <w:r>
        <w:rPr>
          <w:b/>
          <w:bCs/>
          <w:color w:val="1e3a8a"/>
          <w:sz w:val="28"/>
          <w:szCs w:val="28"/>
          <w:rFonts w:ascii="Calibri" w:cs="Calibri" w:eastAsia="Calibri" w:hAnsi="Calibri"/>
        </w:rPr>
        <w:t xml:space="preserve">3.2. Técnicas de recolha de evidências</w:t>
      </w:r>
    </w:p>
    <w:p>
      <w:pPr>
        <w:pStyle w:val="ListParagraph"/>
        <w:numPr>
          <w:ilvl w:val="0"/>
          <w:numId w:val="1"/>
        </w:numPr>
        <w:spacing w:after="80"/>
      </w:pPr>
      <w:r>
        <w:rPr>
          <w:color w:val="374151"/>
          <w:sz w:val="22"/>
          <w:szCs w:val="22"/>
          <w:rFonts w:ascii="Calibri" w:cs="Calibri" w:eastAsia="Calibri" w:hAnsi="Calibri"/>
        </w:rPr>
        <w:t xml:space="preserve">Revisão documental — análise de políticas, procedimentos, registos, logs, relatórios e demais documentação relevante para os critérios de auditoria</w:t>
      </w:r>
    </w:p>
    <w:p>
      <w:pPr>
        <w:pStyle w:val="ListParagraph"/>
        <w:numPr>
          <w:ilvl w:val="0"/>
          <w:numId w:val="1"/>
        </w:numPr>
        <w:spacing w:after="80"/>
      </w:pPr>
      <w:r>
        <w:rPr>
          <w:color w:val="374151"/>
          <w:sz w:val="22"/>
          <w:szCs w:val="22"/>
          <w:rFonts w:ascii="Calibri" w:cs="Calibri" w:eastAsia="Calibri" w:hAnsi="Calibri"/>
        </w:rPr>
        <w:t xml:space="preserve">Entrevistas estruturadas — entrevistas com os responsáveis e executantes dos processos auditados, seguindo guiões pré-definidos; as entrevistas são registadas e confirmadas pelos entrevistados</w:t>
      </w:r>
    </w:p>
    <w:p>
      <w:pPr>
        <w:pStyle w:val="ListParagraph"/>
        <w:numPr>
          <w:ilvl w:val="0"/>
          <w:numId w:val="1"/>
        </w:numPr>
        <w:spacing w:after="80"/>
      </w:pPr>
      <w:r>
        <w:rPr>
          <w:color w:val="374151"/>
          <w:sz w:val="22"/>
          <w:szCs w:val="22"/>
          <w:rFonts w:ascii="Calibri" w:cs="Calibri" w:eastAsia="Calibri" w:hAnsi="Calibri"/>
        </w:rPr>
        <w:t xml:space="preserve">Observação direta — observação do funcionamento real dos processos e controlos no ambiente de trabalho</w:t>
      </w:r>
    </w:p>
    <w:p>
      <w:pPr>
        <w:pStyle w:val="ListParagraph"/>
        <w:numPr>
          <w:ilvl w:val="0"/>
          <w:numId w:val="1"/>
        </w:numPr>
        <w:spacing w:after="80"/>
      </w:pPr>
      <w:r>
        <w:rPr>
          <w:color w:val="374151"/>
          <w:sz w:val="22"/>
          <w:szCs w:val="22"/>
          <w:rFonts w:ascii="Calibri" w:cs="Calibri" w:eastAsia="Calibri" w:hAnsi="Calibri"/>
        </w:rPr>
        <w:t xml:space="preserve">Testes técnicos — execução de testes ou verificações técnicas para confirmar a implementação e efetividade de controlos (por exemplo: verificação de configurações de firewall, teste de autenticação, verificação de aplicação de patches)</w:t>
      </w:r>
    </w:p>
    <w:p>
      <w:pPr>
        <w:pStyle w:val="ListParagraph"/>
        <w:numPr>
          <w:ilvl w:val="0"/>
          <w:numId w:val="1"/>
        </w:numPr>
        <w:spacing w:after="80"/>
      </w:pPr>
      <w:r>
        <w:rPr>
          <w:color w:val="374151"/>
          <w:sz w:val="22"/>
          <w:szCs w:val="22"/>
          <w:rFonts w:ascii="Calibri" w:cs="Calibri" w:eastAsia="Calibri" w:hAnsi="Calibri"/>
        </w:rPr>
        <w:t xml:space="preserve">Amostragem — seleção estatística ou baseada em risco de amostras representativas de registos, logs ou configurações quando não é possível ou eficiente analisar o universo completo</w:t>
      </w:r>
    </w:p>
    <w:p>
      <w:pPr>
        <w:pStyle w:val="Heading1"/>
        <w:spacing w:before="400" w:after="200"/>
      </w:pPr>
      <w:r>
        <w:rPr>
          <w:b/>
          <w:bCs/>
          <w:color w:val="1e3a8a"/>
          <w:sz w:val="32"/>
          <w:szCs w:val="32"/>
          <w:rFonts w:ascii="Calibri" w:cs="Calibri" w:eastAsia="Calibri" w:hAnsi="Calibri"/>
        </w:rPr>
        <w:t xml:space="preserve">4. Critérios de auditoria</w:t>
      </w:r>
    </w:p>
    <w:p>
      <w:pPr>
        <w:spacing w:after="160"/>
      </w:pPr>
      <w:r>
        <w:rPr>
          <w:color w:val="374151"/>
          <w:sz w:val="22"/>
          <w:szCs w:val="22"/>
          <w:rFonts w:ascii="Calibri" w:cs="Calibri" w:eastAsia="Calibri" w:hAnsi="Calibri"/>
        </w:rPr>
        <w:t xml:space="preserve">Os critérios de auditoria são os referenciais face aos quais as evidências recolhidas são comparadas para determinar a conformidade. O programa de auditoria interna de [Nome da organização] utiliza os seguintes critérios:</w:t>
      </w:r>
    </w:p>
    <w:p>
      <w:pPr>
        <w:pStyle w:val="Heading2"/>
        <w:spacing w:before="320" w:after="160"/>
      </w:pPr>
      <w:r>
        <w:rPr>
          <w:b/>
          <w:bCs/>
          <w:color w:val="1e3a8a"/>
          <w:sz w:val="28"/>
          <w:szCs w:val="28"/>
          <w:rFonts w:ascii="Calibri" w:cs="Calibri" w:eastAsia="Calibri" w:hAnsi="Calibri"/>
        </w:rPr>
        <w:t xml:space="preserve">4.1. Decreto-Lei n.º 125/2025 (NIS2)</w:t>
      </w:r>
    </w:p>
    <w:p>
      <w:pPr>
        <w:pStyle w:val="ListParagraph"/>
        <w:numPr>
          <w:ilvl w:val="0"/>
          <w:numId w:val="1"/>
        </w:numPr>
        <w:spacing w:after="80"/>
      </w:pPr>
      <w:r>
        <w:rPr>
          <w:color w:val="374151"/>
          <w:sz w:val="22"/>
          <w:szCs w:val="22"/>
          <w:rFonts w:ascii="Calibri" w:cs="Calibri" w:eastAsia="Calibri" w:hAnsi="Calibri"/>
        </w:rPr>
        <w:t xml:space="preserve">Art. 25.º — medidas de gestão dos riscos de cibersegurança: obrigação de adotar medidas técnicas, operacionais e organizacionais proporcionais aos riscos identificados</w:t>
      </w:r>
    </w:p>
    <w:p>
      <w:pPr>
        <w:pStyle w:val="ListParagraph"/>
        <w:numPr>
          <w:ilvl w:val="0"/>
          <w:numId w:val="1"/>
        </w:numPr>
        <w:spacing w:after="80"/>
      </w:pPr>
      <w:r>
        <w:rPr>
          <w:color w:val="374151"/>
          <w:sz w:val="22"/>
          <w:szCs w:val="22"/>
          <w:rFonts w:ascii="Calibri" w:cs="Calibri" w:eastAsia="Calibri" w:hAnsi="Calibri"/>
        </w:rPr>
        <w:t xml:space="preserve">Art. 26.º — abordagem baseada no risco: as medidas devem ser proporcionais à exposição ao risco, ao estado da arte e aos custos de implementação</w:t>
      </w:r>
    </w:p>
    <w:p>
      <w:pPr>
        <w:pStyle w:val="ListParagraph"/>
        <w:numPr>
          <w:ilvl w:val="0"/>
          <w:numId w:val="1"/>
        </w:numPr>
        <w:spacing w:after="80"/>
      </w:pPr>
      <w:r>
        <w:rPr>
          <w:color w:val="374151"/>
          <w:sz w:val="22"/>
          <w:szCs w:val="22"/>
          <w:rFonts w:ascii="Calibri" w:cs="Calibri" w:eastAsia="Calibri" w:hAnsi="Calibri"/>
        </w:rPr>
        <w:t xml:space="preserve">Art. 27.º — medidas mínimas obrigatórias: as dez categorias de medidas mínimas a implementar pelas entidades abrangidas (gestão de incidentes, continuidade, segurança da cadeia de abastecimento, aquisição e desenvolvimento seguro, eficácia das medidas, higiene informática, formação, criptografia, segurança dos RH, autenticação multifator)</w:t>
      </w:r>
    </w:p>
    <w:p>
      <w:pPr>
        <w:pStyle w:val="ListParagraph"/>
        <w:numPr>
          <w:ilvl w:val="0"/>
          <w:numId w:val="1"/>
        </w:numPr>
        <w:spacing w:after="80"/>
      </w:pPr>
      <w:r>
        <w:rPr>
          <w:color w:val="374151"/>
          <w:sz w:val="22"/>
          <w:szCs w:val="22"/>
          <w:rFonts w:ascii="Calibri" w:cs="Calibri" w:eastAsia="Calibri" w:hAnsi="Calibri"/>
        </w:rPr>
        <w:t xml:space="preserve">Art. 30.º — obrigações de notificação de incidentes: procedimentos e prazos de notificação ao CNCS</w:t>
      </w:r>
    </w:p>
    <w:p>
      <w:pPr>
        <w:pStyle w:val="ListParagraph"/>
        <w:numPr>
          <w:ilvl w:val="0"/>
          <w:numId w:val="1"/>
        </w:numPr>
        <w:spacing w:after="80"/>
      </w:pPr>
      <w:r>
        <w:rPr>
          <w:color w:val="374151"/>
          <w:sz w:val="22"/>
          <w:szCs w:val="22"/>
          <w:rFonts w:ascii="Calibri" w:cs="Calibri" w:eastAsia="Calibri" w:hAnsi="Calibri"/>
        </w:rPr>
        <w:t xml:space="preserve">Art. 52.º a 55.º — regime sancionatório: coimas e sanções aplicáveis em caso de incumprimento</w:t>
      </w:r>
    </w:p>
    <w:p>
      <w:pPr>
        <w:pStyle w:val="Heading2"/>
        <w:spacing w:before="320" w:after="160"/>
      </w:pPr>
      <w:r>
        <w:rPr>
          <w:b/>
          <w:bCs/>
          <w:color w:val="1e3a8a"/>
          <w:sz w:val="28"/>
          <w:szCs w:val="28"/>
          <w:rFonts w:ascii="Calibri" w:cs="Calibri" w:eastAsia="Calibri" w:hAnsi="Calibri"/>
        </w:rPr>
        <w:t xml:space="preserve">4.2. ISO/IEC 27001:2022</w:t>
      </w:r>
    </w:p>
    <w:p>
      <w:pPr>
        <w:pStyle w:val="ListParagraph"/>
        <w:numPr>
          <w:ilvl w:val="0"/>
          <w:numId w:val="1"/>
        </w:numPr>
        <w:spacing w:after="80"/>
      </w:pPr>
      <w:r>
        <w:rPr>
          <w:color w:val="374151"/>
          <w:sz w:val="22"/>
          <w:szCs w:val="22"/>
          <w:rFonts w:ascii="Calibri" w:cs="Calibri" w:eastAsia="Calibri" w:hAnsi="Calibri"/>
        </w:rPr>
        <w:t xml:space="preserve">Secção 4 — contexto da organização: compreensão do contexto, partes interessadas e âmbito do SGSI</w:t>
      </w:r>
    </w:p>
    <w:p>
      <w:pPr>
        <w:pStyle w:val="ListParagraph"/>
        <w:numPr>
          <w:ilvl w:val="0"/>
          <w:numId w:val="1"/>
        </w:numPr>
        <w:spacing w:after="80"/>
      </w:pPr>
      <w:r>
        <w:rPr>
          <w:color w:val="374151"/>
          <w:sz w:val="22"/>
          <w:szCs w:val="22"/>
          <w:rFonts w:ascii="Calibri" w:cs="Calibri" w:eastAsia="Calibri" w:hAnsi="Calibri"/>
        </w:rPr>
        <w:t xml:space="preserve">Secção 5 — liderança: compromisso da gestão, política de segurança da informação, papéis e responsabilidades</w:t>
      </w:r>
    </w:p>
    <w:p>
      <w:pPr>
        <w:pStyle w:val="ListParagraph"/>
        <w:numPr>
          <w:ilvl w:val="0"/>
          <w:numId w:val="1"/>
        </w:numPr>
        <w:spacing w:after="80"/>
      </w:pPr>
      <w:r>
        <w:rPr>
          <w:color w:val="374151"/>
          <w:sz w:val="22"/>
          <w:szCs w:val="22"/>
          <w:rFonts w:ascii="Calibri" w:cs="Calibri" w:eastAsia="Calibri" w:hAnsi="Calibri"/>
        </w:rPr>
        <w:t xml:space="preserve">Secção 6 — planeamento: avaliação de riscos, tratamento de riscos, objetivos de segurança da informação</w:t>
      </w:r>
    </w:p>
    <w:p>
      <w:pPr>
        <w:pStyle w:val="ListParagraph"/>
        <w:numPr>
          <w:ilvl w:val="0"/>
          <w:numId w:val="1"/>
        </w:numPr>
        <w:spacing w:after="80"/>
      </w:pPr>
      <w:r>
        <w:rPr>
          <w:color w:val="374151"/>
          <w:sz w:val="22"/>
          <w:szCs w:val="22"/>
          <w:rFonts w:ascii="Calibri" w:cs="Calibri" w:eastAsia="Calibri" w:hAnsi="Calibri"/>
        </w:rPr>
        <w:t xml:space="preserve">Secção 7 — suporte: recursos, competências, sensibilização, comunicação, documentação</w:t>
      </w:r>
    </w:p>
    <w:p>
      <w:pPr>
        <w:pStyle w:val="ListParagraph"/>
        <w:numPr>
          <w:ilvl w:val="0"/>
          <w:numId w:val="1"/>
        </w:numPr>
        <w:spacing w:after="80"/>
      </w:pPr>
      <w:r>
        <w:rPr>
          <w:color w:val="374151"/>
          <w:sz w:val="22"/>
          <w:szCs w:val="22"/>
          <w:rFonts w:ascii="Calibri" w:cs="Calibri" w:eastAsia="Calibri" w:hAnsi="Calibri"/>
        </w:rPr>
        <w:t xml:space="preserve">Secção 8 — operação: execução dos processos de gestão de riscos e dos controlos</w:t>
      </w:r>
    </w:p>
    <w:p>
      <w:pPr>
        <w:pStyle w:val="ListParagraph"/>
        <w:numPr>
          <w:ilvl w:val="0"/>
          <w:numId w:val="1"/>
        </w:numPr>
        <w:spacing w:after="80"/>
      </w:pPr>
      <w:r>
        <w:rPr>
          <w:color w:val="374151"/>
          <w:sz w:val="22"/>
          <w:szCs w:val="22"/>
          <w:rFonts w:ascii="Calibri" w:cs="Calibri" w:eastAsia="Calibri" w:hAnsi="Calibri"/>
        </w:rPr>
        <w:t xml:space="preserve">Secção 9 — avaliação do desempenho: monitorização, medição, auditoria interna, revisão pela gestão</w:t>
      </w:r>
    </w:p>
    <w:p>
      <w:pPr>
        <w:pStyle w:val="ListParagraph"/>
        <w:numPr>
          <w:ilvl w:val="0"/>
          <w:numId w:val="1"/>
        </w:numPr>
        <w:spacing w:after="80"/>
      </w:pPr>
      <w:r>
        <w:rPr>
          <w:color w:val="374151"/>
          <w:sz w:val="22"/>
          <w:szCs w:val="22"/>
          <w:rFonts w:ascii="Calibri" w:cs="Calibri" w:eastAsia="Calibri" w:hAnsi="Calibri"/>
        </w:rPr>
        <w:t xml:space="preserve">Secção 10 — melhoria: não conformidades, ações corretivas, melhoria contínua</w:t>
      </w:r>
    </w:p>
    <w:p>
      <w:pPr>
        <w:pStyle w:val="ListParagraph"/>
        <w:numPr>
          <w:ilvl w:val="0"/>
          <w:numId w:val="1"/>
        </w:numPr>
        <w:spacing w:after="80"/>
      </w:pPr>
      <w:r>
        <w:rPr>
          <w:color w:val="374151"/>
          <w:sz w:val="22"/>
          <w:szCs w:val="22"/>
          <w:rFonts w:ascii="Calibri" w:cs="Calibri" w:eastAsia="Calibri" w:hAnsi="Calibri"/>
        </w:rPr>
        <w:t xml:space="preserve">Anexo A — controlos de referência: 93 controlos agrupados em 4 categorias (organizacionais, pessoas, físicos, tecnológicos)</w:t>
      </w:r>
    </w:p>
    <w:p>
      <w:pPr>
        <w:pStyle w:val="Heading2"/>
        <w:spacing w:before="320" w:after="160"/>
      </w:pPr>
      <w:r>
        <w:rPr>
          <w:b/>
          <w:bCs/>
          <w:color w:val="1e3a8a"/>
          <w:sz w:val="28"/>
          <w:szCs w:val="28"/>
          <w:rFonts w:ascii="Calibri" w:cs="Calibri" w:eastAsia="Calibri" w:hAnsi="Calibri"/>
        </w:rPr>
        <w:t xml:space="preserve">4.3. Regulamento Geral de Proteção de Dados (RGPD)</w:t>
      </w:r>
    </w:p>
    <w:p>
      <w:pPr>
        <w:pStyle w:val="ListParagraph"/>
        <w:numPr>
          <w:ilvl w:val="0"/>
          <w:numId w:val="1"/>
        </w:numPr>
        <w:spacing w:after="80"/>
      </w:pPr>
      <w:r>
        <w:rPr>
          <w:color w:val="374151"/>
          <w:sz w:val="22"/>
          <w:szCs w:val="22"/>
          <w:rFonts w:ascii="Calibri" w:cs="Calibri" w:eastAsia="Calibri" w:hAnsi="Calibri"/>
        </w:rPr>
        <w:t xml:space="preserve">Art. 5.º — princípios relativos ao tratamento de dados pessoais</w:t>
      </w:r>
    </w:p>
    <w:p>
      <w:pPr>
        <w:pStyle w:val="ListParagraph"/>
        <w:numPr>
          <w:ilvl w:val="0"/>
          <w:numId w:val="1"/>
        </w:numPr>
        <w:spacing w:after="80"/>
      </w:pPr>
      <w:r>
        <w:rPr>
          <w:color w:val="374151"/>
          <w:sz w:val="22"/>
          <w:szCs w:val="22"/>
          <w:rFonts w:ascii="Calibri" w:cs="Calibri" w:eastAsia="Calibri" w:hAnsi="Calibri"/>
        </w:rPr>
        <w:t xml:space="preserve">Art. 25.º — proteção de dados desde a conceção e por defeito</w:t>
      </w:r>
    </w:p>
    <w:p>
      <w:pPr>
        <w:pStyle w:val="ListParagraph"/>
        <w:numPr>
          <w:ilvl w:val="0"/>
          <w:numId w:val="1"/>
        </w:numPr>
        <w:spacing w:after="80"/>
      </w:pPr>
      <w:r>
        <w:rPr>
          <w:color w:val="374151"/>
          <w:sz w:val="22"/>
          <w:szCs w:val="22"/>
          <w:rFonts w:ascii="Calibri" w:cs="Calibri" w:eastAsia="Calibri" w:hAnsi="Calibri"/>
        </w:rPr>
        <w:t xml:space="preserve">Art. 32.º — segurança do tratamento: medidas técnicas e organizacionais adequadas</w:t>
      </w:r>
    </w:p>
    <w:p>
      <w:pPr>
        <w:pStyle w:val="ListParagraph"/>
        <w:numPr>
          <w:ilvl w:val="0"/>
          <w:numId w:val="1"/>
        </w:numPr>
        <w:spacing w:after="80"/>
      </w:pPr>
      <w:r>
        <w:rPr>
          <w:color w:val="374151"/>
          <w:sz w:val="22"/>
          <w:szCs w:val="22"/>
          <w:rFonts w:ascii="Calibri" w:cs="Calibri" w:eastAsia="Calibri" w:hAnsi="Calibri"/>
        </w:rPr>
        <w:t xml:space="preserve">Art. 33.º–34.º — notificação de violações de dados pessoais à CNPD e aos titulares</w:t>
      </w:r>
    </w:p>
    <w:p>
      <w:pPr>
        <w:pStyle w:val="ListParagraph"/>
        <w:numPr>
          <w:ilvl w:val="0"/>
          <w:numId w:val="1"/>
        </w:numPr>
        <w:spacing w:after="80"/>
      </w:pPr>
      <w:r>
        <w:rPr>
          <w:color w:val="374151"/>
          <w:sz w:val="22"/>
          <w:szCs w:val="22"/>
          <w:rFonts w:ascii="Calibri" w:cs="Calibri" w:eastAsia="Calibri" w:hAnsi="Calibri"/>
        </w:rPr>
        <w:t xml:space="preserve">Art. 35.º — avaliação de impacto sobre a proteção de dados (AIPD)</w:t>
      </w:r>
    </w:p>
    <w:p>
      <w:pPr>
        <w:pStyle w:val="Heading1"/>
        <w:spacing w:before="400" w:after="200"/>
      </w:pPr>
      <w:r>
        <w:rPr>
          <w:b/>
          <w:bCs/>
          <w:color w:val="1e3a8a"/>
          <w:sz w:val="32"/>
          <w:szCs w:val="32"/>
          <w:rFonts w:ascii="Calibri" w:cs="Calibri" w:eastAsia="Calibri" w:hAnsi="Calibri"/>
        </w:rPr>
        <w:t xml:space="preserve">5. Universo de auditoria</w:t>
      </w:r>
    </w:p>
    <w:p>
      <w:pPr>
        <w:spacing w:after="160"/>
      </w:pPr>
      <w:r>
        <w:rPr>
          <w:color w:val="374151"/>
          <w:sz w:val="22"/>
          <w:szCs w:val="22"/>
          <w:rFonts w:ascii="Calibri" w:cs="Calibri" w:eastAsia="Calibri" w:hAnsi="Calibri"/>
        </w:rPr>
        <w:t xml:space="preserve">O universo de auditoria compreende todos os domínios, processos e sistemas sujeitos a auditoria no âmbito do SGSI. A prioridade de cada domínio é determinada com base no nível de risco avaliado, na criticidade para o cumprimento das obrigações legais e nos resultados de auditorias anteriores.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Área / domínio</w:t>
            </w:r>
          </w:p>
        </w:tc>
        <w:tc>
          <w:tcPr>
            <w:shd w:color="1e3a8a" w:val="solid"/>
            <w:vAlign w:val="center"/>
          </w:tcPr>
          <w:p>
            <w:pPr>
              <w:jc w:val="center"/>
            </w:pPr>
            <w:r>
              <w:rPr>
                <w:b/>
                <w:bCs/>
                <w:color w:val="ffffff"/>
                <w:sz w:val="22"/>
                <w:szCs w:val="22"/>
                <w:rFonts w:ascii="Calibri" w:cs="Calibri" w:eastAsia="Calibri" w:hAnsi="Calibri"/>
              </w:rPr>
              <w:t xml:space="preserve">Critério de auditoria</w:t>
            </w:r>
          </w:p>
        </w:tc>
        <w:tc>
          <w:tcPr>
            <w:shd w:color="1e3a8a" w:val="solid"/>
            <w:vAlign w:val="center"/>
          </w:tcPr>
          <w:p>
            <w:pPr>
              <w:jc w:val="center"/>
            </w:pPr>
            <w:r>
              <w:rPr>
                <w:b/>
                <w:bCs/>
                <w:color w:val="ffffff"/>
                <w:sz w:val="22"/>
                <w:szCs w:val="22"/>
                <w:rFonts w:ascii="Calibri" w:cs="Calibri" w:eastAsia="Calibri" w:hAnsi="Calibri"/>
              </w:rPr>
              <w:t xml:space="preserve">Frequência</w:t>
            </w:r>
          </w:p>
        </w:tc>
        <w:tc>
          <w:tcPr>
            <w:shd w:color="1e3a8a" w:val="solid"/>
            <w:vAlign w:val="center"/>
          </w:tcPr>
          <w:p>
            <w:pPr>
              <w:jc w:val="center"/>
            </w:pPr>
            <w:r>
              <w:rPr>
                <w:b/>
                <w:bCs/>
                <w:color w:val="ffffff"/>
                <w:sz w:val="22"/>
                <w:szCs w:val="22"/>
                <w:rFonts w:ascii="Calibri" w:cs="Calibri" w:eastAsia="Calibri" w:hAnsi="Calibri"/>
              </w:rPr>
              <w:t xml:space="preserve">Prioridade</w:t>
            </w:r>
          </w:p>
        </w:tc>
        <w:tc>
          <w:tcPr>
            <w:shd w:color="1e3a8a" w:val="solid"/>
            <w:vAlign w:val="center"/>
          </w:tcPr>
          <w:p>
            <w:pPr>
              <w:jc w:val="center"/>
            </w:pPr>
            <w:r>
              <w:rPr>
                <w:b/>
                <w:bCs/>
                <w:color w:val="ffffff"/>
                <w:sz w:val="22"/>
                <w:szCs w:val="22"/>
                <w:rFonts w:ascii="Calibri" w:cs="Calibri" w:eastAsia="Calibri" w:hAnsi="Calibri"/>
              </w:rPr>
              <w:t xml:space="preserve">Última auditoria</w:t>
            </w:r>
          </w:p>
        </w:tc>
        <w:tc>
          <w:tcPr>
            <w:shd w:color="1e3a8a" w:val="solid"/>
            <w:vAlign w:val="center"/>
          </w:tcPr>
          <w:p>
            <w:pPr>
              <w:jc w:val="center"/>
            </w:pPr>
            <w:r>
              <w:rPr>
                <w:b/>
                <w:bCs/>
                <w:color w:val="ffffff"/>
                <w:sz w:val="22"/>
                <w:szCs w:val="22"/>
                <w:rFonts w:ascii="Calibri" w:cs="Calibri" w:eastAsia="Calibri" w:hAnsi="Calibri"/>
              </w:rPr>
              <w:t xml:space="preserve">Próxima auditoria</w:t>
            </w:r>
          </w:p>
        </w:tc>
      </w:tr>
      <w:tr>
        <w:tc>
          <w:tcPr>
            <w:vAlign w:val="center"/>
          </w:tcPr>
          <w:p>
            <w:r>
              <w:rPr>
                <w:b w:val="false"/>
                <w:bCs w:val="false"/>
                <w:color w:val="374151"/>
                <w:sz w:val="22"/>
                <w:szCs w:val="22"/>
                <w:rFonts w:ascii="Calibri" w:cs="Calibri" w:eastAsia="Calibri" w:hAnsi="Calibri"/>
              </w:rPr>
              <w:t xml:space="preserve">Gestão de identidades e acessos</w:t>
            </w:r>
          </w:p>
        </w:tc>
        <w:tc>
          <w:tcPr>
            <w:vAlign w:val="center"/>
          </w:tcPr>
          <w:p>
            <w:r>
              <w:rPr>
                <w:b w:val="false"/>
                <w:bCs w:val="false"/>
                <w:color w:val="374151"/>
                <w:sz w:val="22"/>
                <w:szCs w:val="22"/>
                <w:rFonts w:ascii="Calibri" w:cs="Calibri" w:eastAsia="Calibri" w:hAnsi="Calibri"/>
              </w:rPr>
              <w:t xml:space="preserve">DL 125/2025 Art. 27.º al. e); ISO 27001 A.9</w:t>
            </w:r>
          </w:p>
        </w:tc>
        <w:tc>
          <w:tcPr>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Segurança de redes e comunicações</w:t>
            </w:r>
          </w:p>
        </w:tc>
        <w:tc>
          <w:tcPr>
            <w:shd w:color="f3f4f6" w:val="solid"/>
            <w:vAlign w:val="center"/>
          </w:tcPr>
          <w:p>
            <w:r>
              <w:rPr>
                <w:b w:val="false"/>
                <w:bCs w:val="false"/>
                <w:color w:val="374151"/>
                <w:sz w:val="22"/>
                <w:szCs w:val="22"/>
                <w:rFonts w:ascii="Calibri" w:cs="Calibri" w:eastAsia="Calibri" w:hAnsi="Calibri"/>
              </w:rPr>
              <w:t xml:space="preserve">DL 125/2025 Art. 27.º al. d); ISO 27001 A.13</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r>
        <w:tc>
          <w:tcPr>
            <w:vAlign w:val="center"/>
          </w:tcPr>
          <w:p>
            <w:r>
              <w:rPr>
                <w:b w:val="false"/>
                <w:bCs w:val="false"/>
                <w:color w:val="374151"/>
                <w:sz w:val="22"/>
                <w:szCs w:val="22"/>
                <w:rFonts w:ascii="Calibri" w:cs="Calibri" w:eastAsia="Calibri" w:hAnsi="Calibri"/>
              </w:rPr>
              <w:t xml:space="preserve">Gestão de incidentes</w:t>
            </w:r>
          </w:p>
        </w:tc>
        <w:tc>
          <w:tcPr>
            <w:vAlign w:val="center"/>
          </w:tcPr>
          <w:p>
            <w:r>
              <w:rPr>
                <w:b w:val="false"/>
                <w:bCs w:val="false"/>
                <w:color w:val="374151"/>
                <w:sz w:val="22"/>
                <w:szCs w:val="22"/>
                <w:rFonts w:ascii="Calibri" w:cs="Calibri" w:eastAsia="Calibri" w:hAnsi="Calibri"/>
              </w:rPr>
              <w:t xml:space="preserve">DL 125/2025 Art. 27.º al. a); ISO 27001 A.16</w:t>
            </w:r>
          </w:p>
        </w:tc>
        <w:tc>
          <w:tcPr>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Continuidade de negócio e DR</w:t>
            </w:r>
          </w:p>
        </w:tc>
        <w:tc>
          <w:tcPr>
            <w:shd w:color="f3f4f6" w:val="solid"/>
            <w:vAlign w:val="center"/>
          </w:tcPr>
          <w:p>
            <w:r>
              <w:rPr>
                <w:b w:val="false"/>
                <w:bCs w:val="false"/>
                <w:color w:val="374151"/>
                <w:sz w:val="22"/>
                <w:szCs w:val="22"/>
                <w:rFonts w:ascii="Calibri" w:cs="Calibri" w:eastAsia="Calibri" w:hAnsi="Calibri"/>
              </w:rPr>
              <w:t xml:space="preserve">DL 125/2025 Art. 27.º al. b); ISO 22301</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r>
        <w:tc>
          <w:tcPr>
            <w:vAlign w:val="center"/>
          </w:tcPr>
          <w:p>
            <w:r>
              <w:rPr>
                <w:b w:val="false"/>
                <w:bCs w:val="false"/>
                <w:color w:val="374151"/>
                <w:sz w:val="22"/>
                <w:szCs w:val="22"/>
                <w:rFonts w:ascii="Calibri" w:cs="Calibri" w:eastAsia="Calibri" w:hAnsi="Calibri"/>
              </w:rPr>
              <w:t xml:space="preserve">Gestão de riscos</w:t>
            </w:r>
          </w:p>
        </w:tc>
        <w:tc>
          <w:tcPr>
            <w:vAlign w:val="center"/>
          </w:tcPr>
          <w:p>
            <w:r>
              <w:rPr>
                <w:b w:val="false"/>
                <w:bCs w:val="false"/>
                <w:color w:val="374151"/>
                <w:sz w:val="22"/>
                <w:szCs w:val="22"/>
                <w:rFonts w:ascii="Calibri" w:cs="Calibri" w:eastAsia="Calibri" w:hAnsi="Calibri"/>
              </w:rPr>
              <w:t xml:space="preserve">DL 125/2025 Art. 25.º–26.º; ISO 27001 6.1</w:t>
            </w:r>
          </w:p>
        </w:tc>
        <w:tc>
          <w:tcPr>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Segurança da cadeia de abastecimento</w:t>
            </w:r>
          </w:p>
        </w:tc>
        <w:tc>
          <w:tcPr>
            <w:shd w:color="f3f4f6" w:val="solid"/>
            <w:vAlign w:val="center"/>
          </w:tcPr>
          <w:p>
            <w:r>
              <w:rPr>
                <w:b w:val="false"/>
                <w:bCs w:val="false"/>
                <w:color w:val="374151"/>
                <w:sz w:val="22"/>
                <w:szCs w:val="22"/>
                <w:rFonts w:ascii="Calibri" w:cs="Calibri" w:eastAsia="Calibri" w:hAnsi="Calibri"/>
              </w:rPr>
              <w:t xml:space="preserve">DL 125/2025 Art. 27.º al. f); ISO 27001 A.15</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r>
        <w:tc>
          <w:tcPr>
            <w:vAlign w:val="center"/>
          </w:tcPr>
          <w:p>
            <w:r>
              <w:rPr>
                <w:b w:val="false"/>
                <w:bCs w:val="false"/>
                <w:color w:val="374151"/>
                <w:sz w:val="22"/>
                <w:szCs w:val="22"/>
                <w:rFonts w:ascii="Calibri" w:cs="Calibri" w:eastAsia="Calibri" w:hAnsi="Calibri"/>
              </w:rPr>
              <w:t xml:space="preserve">Gestão de vulnerabilidades e patches</w:t>
            </w:r>
          </w:p>
        </w:tc>
        <w:tc>
          <w:tcPr>
            <w:vAlign w:val="center"/>
          </w:tcPr>
          <w:p>
            <w:r>
              <w:rPr>
                <w:b w:val="false"/>
                <w:bCs w:val="false"/>
                <w:color w:val="374151"/>
                <w:sz w:val="22"/>
                <w:szCs w:val="22"/>
                <w:rFonts w:ascii="Calibri" w:cs="Calibri" w:eastAsia="Calibri" w:hAnsi="Calibri"/>
              </w:rPr>
              <w:t xml:space="preserve">DL 125/2025 Art. 27.º al. h); ISO 27001 A.12</w:t>
            </w:r>
          </w:p>
        </w:tc>
        <w:tc>
          <w:tcPr>
            <w:vAlign w:val="center"/>
          </w:tcPr>
          <w:p>
            <w:r>
              <w:rPr>
                <w:b w:val="false"/>
                <w:bCs w:val="false"/>
                <w:color w:val="374151"/>
                <w:sz w:val="22"/>
                <w:szCs w:val="22"/>
                <w:rFonts w:ascii="Calibri" w:cs="Calibri" w:eastAsia="Calibri" w:hAnsi="Calibri"/>
              </w:rPr>
              <w:t xml:space="preserve">Semestral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Proteção de dados (RGPD)</w:t>
            </w:r>
          </w:p>
        </w:tc>
        <w:tc>
          <w:tcPr>
            <w:shd w:color="f3f4f6" w:val="solid"/>
            <w:vAlign w:val="center"/>
          </w:tcPr>
          <w:p>
            <w:r>
              <w:rPr>
                <w:b w:val="false"/>
                <w:bCs w:val="false"/>
                <w:color w:val="374151"/>
                <w:sz w:val="22"/>
                <w:szCs w:val="22"/>
                <w:rFonts w:ascii="Calibri" w:cs="Calibri" w:eastAsia="Calibri" w:hAnsi="Calibri"/>
              </w:rPr>
              <w:t xml:space="preserve">RGPD Art. 32.º; DL 125/2025 Art. 27.º</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dc2626" w:val="solid"/>
            <w:vAlign w:val="center"/>
          </w:tcPr>
          <w:p>
            <w:pPr>
              <w:jc w:val="center"/>
            </w:pPr>
            <w:r>
              <w:rPr>
                <w:b/>
                <w:bCs/>
                <w:color w:val="ffffff"/>
                <w:sz w:val="22"/>
                <w:szCs w:val="22"/>
                <w:rFonts w:ascii="Calibri" w:cs="Calibri" w:eastAsia="Calibri" w:hAnsi="Calibri"/>
              </w:rPr>
              <w:t xml:space="preserve">Alta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r>
        <w:tc>
          <w:tcPr>
            <w:vAlign w:val="center"/>
          </w:tcPr>
          <w:p>
            <w:r>
              <w:rPr>
                <w:b w:val="false"/>
                <w:bCs w:val="false"/>
                <w:color w:val="374151"/>
                <w:sz w:val="22"/>
                <w:szCs w:val="22"/>
                <w:rFonts w:ascii="Calibri" w:cs="Calibri" w:eastAsia="Calibri" w:hAnsi="Calibri"/>
              </w:rPr>
              <w:t xml:space="preserve">Segurança física e ambiental</w:t>
            </w:r>
          </w:p>
        </w:tc>
        <w:tc>
          <w:tcPr>
            <w:vAlign w:val="center"/>
          </w:tcPr>
          <w:p>
            <w:r>
              <w:rPr>
                <w:b w:val="false"/>
                <w:bCs w:val="false"/>
                <w:color w:val="374151"/>
                <w:sz w:val="22"/>
                <w:szCs w:val="22"/>
                <w:rFonts w:ascii="Calibri" w:cs="Calibri" w:eastAsia="Calibri" w:hAnsi="Calibri"/>
              </w:rPr>
              <w:t xml:space="preserve">ISO 27001 A.11; DL 125/2025 Art. 27.º al. g)</w:t>
            </w:r>
          </w:p>
        </w:tc>
        <w:tc>
          <w:tcPr>
            <w:vAlign w:val="center"/>
          </w:tcPr>
          <w:p>
            <w:r>
              <w:rPr>
                <w:b w:val="false"/>
                <w:bCs w:val="false"/>
                <w:color w:val="374151"/>
                <w:sz w:val="22"/>
                <w:szCs w:val="22"/>
                <w:rFonts w:ascii="Calibri" w:cs="Calibri" w:eastAsia="Calibri" w:hAnsi="Calibri"/>
              </w:rPr>
              <w:t xml:space="preserve">Anual</w:t>
            </w:r>
          </w:p>
        </w:tc>
        <w:tc>
          <w:tcPr>
            <w:shd w:color="f97316" w:val="solid"/>
            <w:vAlign w:val="center"/>
          </w:tcPr>
          <w:p>
            <w:pPr>
              <w:jc w:val="center"/>
            </w:pPr>
            <w:r>
              <w:rPr>
                <w:b/>
                <w:bCs/>
                <w:color w:val="ffffff"/>
                <w:sz w:val="22"/>
                <w:szCs w:val="22"/>
                <w:rFonts w:ascii="Calibri" w:cs="Calibri" w:eastAsia="Calibri" w:hAnsi="Calibri"/>
              </w:rPr>
              <w:t xml:space="preserve">Média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Sensibilização e formação</w:t>
            </w:r>
          </w:p>
        </w:tc>
        <w:tc>
          <w:tcPr>
            <w:shd w:color="f3f4f6" w:val="solid"/>
            <w:vAlign w:val="center"/>
          </w:tcPr>
          <w:p>
            <w:r>
              <w:rPr>
                <w:b w:val="false"/>
                <w:bCs w:val="false"/>
                <w:color w:val="374151"/>
                <w:sz w:val="22"/>
                <w:szCs w:val="22"/>
                <w:rFonts w:ascii="Calibri" w:cs="Calibri" w:eastAsia="Calibri" w:hAnsi="Calibri"/>
              </w:rPr>
              <w:t xml:space="preserve">DL 125/2025 Art. 27.º al. i); ISO 27001 A.7</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f97316" w:val="solid"/>
            <w:vAlign w:val="center"/>
          </w:tcPr>
          <w:p>
            <w:pPr>
              <w:jc w:val="center"/>
            </w:pPr>
            <w:r>
              <w:rPr>
                <w:b/>
                <w:bCs/>
                <w:color w:val="ffffff"/>
                <w:sz w:val="22"/>
                <w:szCs w:val="22"/>
                <w:rFonts w:ascii="Calibri" w:cs="Calibri" w:eastAsia="Calibri" w:hAnsi="Calibri"/>
              </w:rPr>
              <w:t xml:space="preserve">Média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r>
        <w:tc>
          <w:tcPr>
            <w:vAlign w:val="center"/>
          </w:tcPr>
          <w:p>
            <w:r>
              <w:rPr>
                <w:b w:val="false"/>
                <w:bCs w:val="false"/>
                <w:color w:val="374151"/>
                <w:sz w:val="22"/>
                <w:szCs w:val="22"/>
                <w:rFonts w:ascii="Calibri" w:cs="Calibri" w:eastAsia="Calibri" w:hAnsi="Calibri"/>
              </w:rPr>
              <w:t xml:space="preserve">Criptografia e gestão de chaves</w:t>
            </w:r>
          </w:p>
        </w:tc>
        <w:tc>
          <w:tcPr>
            <w:vAlign w:val="center"/>
          </w:tcPr>
          <w:p>
            <w:r>
              <w:rPr>
                <w:b w:val="false"/>
                <w:bCs w:val="false"/>
                <w:color w:val="374151"/>
                <w:sz w:val="22"/>
                <w:szCs w:val="22"/>
                <w:rFonts w:ascii="Calibri" w:cs="Calibri" w:eastAsia="Calibri" w:hAnsi="Calibri"/>
              </w:rPr>
              <w:t xml:space="preserve">DL 125/2025 Art. 27.º al. e); ISO 27001 A.10</w:t>
            </w:r>
          </w:p>
        </w:tc>
        <w:tc>
          <w:tcPr>
            <w:vAlign w:val="center"/>
          </w:tcPr>
          <w:p>
            <w:r>
              <w:rPr>
                <w:b w:val="false"/>
                <w:bCs w:val="false"/>
                <w:color w:val="374151"/>
                <w:sz w:val="22"/>
                <w:szCs w:val="22"/>
                <w:rFonts w:ascii="Calibri" w:cs="Calibri" w:eastAsia="Calibri" w:hAnsi="Calibri"/>
              </w:rPr>
              <w:t xml:space="preserve">Anual</w:t>
            </w:r>
          </w:p>
        </w:tc>
        <w:tc>
          <w:tcPr>
            <w:shd w:color="f97316" w:val="solid"/>
            <w:vAlign w:val="center"/>
          </w:tcPr>
          <w:p>
            <w:pPr>
              <w:jc w:val="center"/>
            </w:pPr>
            <w:r>
              <w:rPr>
                <w:b/>
                <w:bCs/>
                <w:color w:val="ffffff"/>
                <w:sz w:val="22"/>
                <w:szCs w:val="22"/>
                <w:rFonts w:ascii="Calibri" w:cs="Calibri" w:eastAsia="Calibri" w:hAnsi="Calibri"/>
              </w:rPr>
              <w:t xml:space="preserve">Média</w:t>
            </w:r>
          </w:p>
        </w:tc>
        <w:tc>
          <w:tcPr>
            <w:vAlign w:val="center"/>
          </w:tcPr>
          <w:p>
            <w:r>
              <w:rPr>
                <w:b w:val="false"/>
                <w:bCs w:val="false"/>
                <w:color w:val="374151"/>
                <w:sz w:val="22"/>
                <w:szCs w:val="22"/>
                <w:rFonts w:ascii="Calibri" w:cs="Calibri" w:eastAsia="Calibri" w:hAnsi="Calibri"/>
              </w:rPr>
              <w:t xml:space="preserve">[Data]</w:t>
            </w:r>
          </w:p>
        </w:tc>
        <w:tc>
          <w:tcPr>
            <w:vAlign w:val="center"/>
          </w:tcPr>
          <w:p>
            <w:r>
              <w:rPr>
                <w:b w:val="false"/>
                <w:bCs w:val="false"/>
                <w:color w:val="374151"/>
                <w:sz w:val="22"/>
                <w:szCs w:val="22"/>
                <w:rFonts w:ascii="Calibri" w:cs="Calibri" w:eastAsia="Calibri" w:hAnsi="Calibri"/>
              </w:rPr>
              <w:t xml:space="preserve">[Data]</w:t>
            </w:r>
          </w:p>
        </w:tc>
      </w:tr>
      <w:tr>
        <w:tc>
          <w:tcPr>
            <w:shd w:color="f3f4f6" w:val="solid"/>
            <w:vAlign w:val="center"/>
          </w:tcPr>
          <w:p>
            <w:r>
              <w:rPr>
                <w:b w:val="false"/>
                <w:bCs w:val="false"/>
                <w:color w:val="374151"/>
                <w:sz w:val="22"/>
                <w:szCs w:val="22"/>
                <w:rFonts w:ascii="Calibri" w:cs="Calibri" w:eastAsia="Calibri" w:hAnsi="Calibri"/>
              </w:rPr>
              <w:t xml:space="preserve">Segurança no desenvolvimento de software</w:t>
            </w:r>
          </w:p>
        </w:tc>
        <w:tc>
          <w:tcPr>
            <w:shd w:color="f3f4f6" w:val="solid"/>
            <w:vAlign w:val="center"/>
          </w:tcPr>
          <w:p>
            <w:r>
              <w:rPr>
                <w:b w:val="false"/>
                <w:bCs w:val="false"/>
                <w:color w:val="374151"/>
                <w:sz w:val="22"/>
                <w:szCs w:val="22"/>
                <w:rFonts w:ascii="Calibri" w:cs="Calibri" w:eastAsia="Calibri" w:hAnsi="Calibri"/>
              </w:rPr>
              <w:t xml:space="preserve">DL 125/2025 Art. 27.º al. j); ISO 27001 A.14</w:t>
            </w:r>
          </w:p>
        </w:tc>
        <w:tc>
          <w:tcPr>
            <w:shd w:color="f3f4f6" w:val="solid"/>
            <w:vAlign w:val="center"/>
          </w:tcPr>
          <w:p>
            <w:r>
              <w:rPr>
                <w:b w:val="false"/>
                <w:bCs w:val="false"/>
                <w:color w:val="374151"/>
                <w:sz w:val="22"/>
                <w:szCs w:val="22"/>
                <w:rFonts w:ascii="Calibri" w:cs="Calibri" w:eastAsia="Calibri" w:hAnsi="Calibri"/>
              </w:rPr>
              <w:t xml:space="preserve">Anual</w:t>
            </w:r>
          </w:p>
        </w:tc>
        <w:tc>
          <w:tcPr>
            <w:shd w:color="f97316" w:val="solid"/>
            <w:vAlign w:val="center"/>
          </w:tcPr>
          <w:p>
            <w:pPr>
              <w:jc w:val="center"/>
            </w:pPr>
            <w:r>
              <w:rPr>
                <w:b/>
                <w:bCs/>
                <w:color w:val="ffffff"/>
                <w:sz w:val="22"/>
                <w:szCs w:val="22"/>
                <w:rFonts w:ascii="Calibri" w:cs="Calibri" w:eastAsia="Calibri" w:hAnsi="Calibri"/>
              </w:rPr>
              <w:t xml:space="preserve">Média</w:t>
            </w:r>
          </w:p>
        </w:tc>
        <w:tc>
          <w:tcPr>
            <w:shd w:color="f3f4f6" w:val="solid"/>
            <w:vAlign w:val="center"/>
          </w:tcPr>
          <w:p>
            <w:r>
              <w:rPr>
                <w:b w:val="false"/>
                <w:bCs w:val="false"/>
                <w:color w:val="374151"/>
                <w:sz w:val="22"/>
                <w:szCs w:val="22"/>
                <w:rFonts w:ascii="Calibri" w:cs="Calibri" w:eastAsia="Calibri" w:hAnsi="Calibri"/>
              </w:rPr>
              <w:t xml:space="preserve">[Data]</w:t>
            </w:r>
          </w:p>
        </w:tc>
        <w:tc>
          <w:tcPr>
            <w:shd w:color="f3f4f6" w:val="solid"/>
            <w:vAlign w:val="center"/>
          </w:tcPr>
          <w:p>
            <w:r>
              <w:rPr>
                <w:b w:val="false"/>
                <w:bCs w:val="false"/>
                <w:color w:val="374151"/>
                <w:sz w:val="22"/>
                <w:szCs w:val="22"/>
                <w:rFonts w:ascii="Calibri" w:cs="Calibri" w:eastAsia="Calibri" w:hAnsi="Calibri"/>
              </w:rPr>
              <w:t xml:space="preserve">[Data]</w:t>
            </w:r>
          </w:p>
        </w:tc>
      </w:tr>
    </w:tbl>
    <w:p>
      <w:pPr>
        <w:spacing w:after="160"/>
      </w:pPr>
    </w:p>
    <w:p>
      <w:pPr>
        <w:spacing w:after="160"/>
      </w:pPr>
      <w:r>
        <w:rPr>
          <w:color w:val="374151"/>
          <w:sz w:val="22"/>
          <w:szCs w:val="22"/>
          <w:rFonts w:ascii="Calibri" w:cs="Calibri" w:eastAsia="Calibri" w:hAnsi="Calibri"/>
        </w:rPr>
        <w:t xml:space="preserve">O universo de auditoria é revisto anualmente pelo CISO, podendo ser ajustado em função de alterações no perfil de risco da organização, de novas obrigações regulatórias ou de resultados de auditorias anteriores. Novos domínios podem ser adicionados ao universo de auditoria sem necessidade de aprovação formal, mediante decisão do CISO.</w:t>
      </w:r>
    </w:p>
    <w:p>
      <w:pPr>
        <w:pStyle w:val="Heading1"/>
        <w:spacing w:before="400" w:after="200"/>
      </w:pPr>
      <w:r>
        <w:rPr>
          <w:b/>
          <w:bCs/>
          <w:color w:val="1e3a8a"/>
          <w:sz w:val="32"/>
          <w:szCs w:val="32"/>
          <w:rFonts w:ascii="Calibri" w:cs="Calibri" w:eastAsia="Calibri" w:hAnsi="Calibri"/>
        </w:rPr>
        <w:t xml:space="preserve">6. Cronograma anual de auditorias</w:t>
      </w:r>
    </w:p>
    <w:p>
      <w:pPr>
        <w:spacing w:after="160"/>
      </w:pPr>
      <w:r>
        <w:rPr>
          <w:color w:val="374151"/>
          <w:sz w:val="22"/>
          <w:szCs w:val="22"/>
          <w:rFonts w:ascii="Calibri" w:cs="Calibri" w:eastAsia="Calibri" w:hAnsi="Calibri"/>
        </w:rPr>
        <w:t xml:space="preserve">O cronograma anual de auditorias é elaborado no início de cada ano civil pelo CISO, em articulação com o Diretor de TI e os responsáveis das áreas sujeitas a auditoria. A tabela seguinte apresenta o plano de auditorias para o ano em curso: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Auditoria</w:t>
            </w:r>
          </w:p>
        </w:tc>
        <w:tc>
          <w:tcPr>
            <w:shd w:color="1e3a8a" w:val="solid"/>
            <w:vAlign w:val="center"/>
          </w:tcPr>
          <w:p>
            <w:pPr>
              <w:jc w:val="center"/>
            </w:pPr>
            <w:r>
              <w:rPr>
                <w:b/>
                <w:bCs/>
                <w:color w:val="ffffff"/>
                <w:sz w:val="22"/>
                <w:szCs w:val="22"/>
                <w:rFonts w:ascii="Calibri" w:cs="Calibri" w:eastAsia="Calibri" w:hAnsi="Calibri"/>
              </w:rPr>
              <w:t xml:space="preserve">T1 (Jan–Mar)</w:t>
            </w:r>
          </w:p>
        </w:tc>
        <w:tc>
          <w:tcPr>
            <w:shd w:color="1e3a8a" w:val="solid"/>
            <w:vAlign w:val="center"/>
          </w:tcPr>
          <w:p>
            <w:pPr>
              <w:jc w:val="center"/>
            </w:pPr>
            <w:r>
              <w:rPr>
                <w:b/>
                <w:bCs/>
                <w:color w:val="ffffff"/>
                <w:sz w:val="22"/>
                <w:szCs w:val="22"/>
                <w:rFonts w:ascii="Calibri" w:cs="Calibri" w:eastAsia="Calibri" w:hAnsi="Calibri"/>
              </w:rPr>
              <w:t xml:space="preserve">T2 (Abr–Jun)</w:t>
            </w:r>
          </w:p>
        </w:tc>
        <w:tc>
          <w:tcPr>
            <w:shd w:color="1e3a8a" w:val="solid"/>
            <w:vAlign w:val="center"/>
          </w:tcPr>
          <w:p>
            <w:pPr>
              <w:jc w:val="center"/>
            </w:pPr>
            <w:r>
              <w:rPr>
                <w:b/>
                <w:bCs/>
                <w:color w:val="ffffff"/>
                <w:sz w:val="22"/>
                <w:szCs w:val="22"/>
                <w:rFonts w:ascii="Calibri" w:cs="Calibri" w:eastAsia="Calibri" w:hAnsi="Calibri"/>
              </w:rPr>
              <w:t xml:space="preserve">T3 (Jul–Set)</w:t>
            </w:r>
          </w:p>
        </w:tc>
        <w:tc>
          <w:tcPr>
            <w:shd w:color="1e3a8a" w:val="solid"/>
            <w:vAlign w:val="center"/>
          </w:tcPr>
          <w:p>
            <w:pPr>
              <w:jc w:val="center"/>
            </w:pPr>
            <w:r>
              <w:rPr>
                <w:b/>
                <w:bCs/>
                <w:color w:val="ffffff"/>
                <w:sz w:val="22"/>
                <w:szCs w:val="22"/>
                <w:rFonts w:ascii="Calibri" w:cs="Calibri" w:eastAsia="Calibri" w:hAnsi="Calibri"/>
              </w:rPr>
              <w:t xml:space="preserve">T4 (Out–Dez)</w:t>
            </w:r>
          </w:p>
        </w:tc>
        <w:tc>
          <w:tcPr>
            <w:shd w:color="1e3a8a" w:val="solid"/>
            <w:vAlign w:val="center"/>
          </w:tcPr>
          <w:p>
            <w:pPr>
              <w:jc w:val="center"/>
            </w:pPr>
            <w:r>
              <w:rPr>
                <w:b/>
                <w:bCs/>
                <w:color w:val="ffffff"/>
                <w:sz w:val="22"/>
                <w:szCs w:val="22"/>
                <w:rFonts w:ascii="Calibri" w:cs="Calibri" w:eastAsia="Calibri" w:hAnsi="Calibri"/>
              </w:rPr>
              <w:t xml:space="preserve">Duração estimada</w:t>
            </w:r>
          </w:p>
        </w:tc>
        <w:tc>
          <w:tcPr>
            <w:shd w:color="1e3a8a" w:val="solid"/>
            <w:vAlign w:val="center"/>
          </w:tcPr>
          <w:p>
            <w:pPr>
              <w:jc w:val="center"/>
            </w:pPr>
            <w:r>
              <w:rPr>
                <w:b/>
                <w:bCs/>
                <w:color w:val="ffffff"/>
                <w:sz w:val="22"/>
                <w:szCs w:val="22"/>
                <w:rFonts w:ascii="Calibri" w:cs="Calibri" w:eastAsia="Calibri" w:hAnsi="Calibri"/>
              </w:rPr>
              <w:t xml:space="preserve">Auditor(es)</w:t>
            </w:r>
          </w:p>
        </w:tc>
      </w:tr>
      <w:tr>
        <w:tc>
          <w:tcPr>
            <w:vAlign w:val="center"/>
          </w:tcPr>
          <w:p>
            <w:r>
              <w:rPr>
                <w:b/>
                <w:bCs/>
                <w:color w:val="374151"/>
                <w:sz w:val="22"/>
                <w:szCs w:val="22"/>
                <w:rFonts w:ascii="Calibri" w:cs="Calibri" w:eastAsia="Calibri" w:hAnsi="Calibri"/>
              </w:rPr>
              <w:t xml:space="preserve">Gestão de identidades e acessos</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vAlign w:val="center"/>
          </w:tcPr>
          <w:p>
            <w:r>
              <w:rPr>
                <w:b w:val="false"/>
                <w:bCs w:val="false"/>
                <w:color w:val="374151"/>
                <w:sz w:val="22"/>
                <w:szCs w:val="22"/>
                <w:rFonts w:ascii="Calibri" w:cs="Calibri" w:eastAsia="Calibri" w:hAnsi="Calibri"/>
              </w:rPr>
              <w:t xml:space="preserve">3 dias</w:t>
            </w:r>
          </w:p>
        </w:tc>
        <w:tc>
          <w:tcPr>
            <w:vAlign w:val="center"/>
          </w:tcPr>
          <w:p>
            <w:r>
              <w:rPr>
                <w:b w:val="false"/>
                <w:bCs w:val="false"/>
                <w:color w:val="374151"/>
                <w:sz w:val="22"/>
                <w:szCs w:val="22"/>
                <w:rFonts w:ascii="Calibri" w:cs="Calibri" w:eastAsia="Calibri" w:hAnsi="Calibri"/>
              </w:rPr>
              <w:t xml:space="preserve">[Auditor interno / externo]</w:t>
            </w:r>
          </w:p>
        </w:tc>
      </w:tr>
      <w:tr>
        <w:tc>
          <w:tcPr>
            <w:shd w:color="f3f4f6" w:val="solid"/>
            <w:vAlign w:val="center"/>
          </w:tcPr>
          <w:p>
            <w:r>
              <w:rPr>
                <w:b/>
                <w:bCs/>
                <w:color w:val="374151"/>
                <w:sz w:val="22"/>
                <w:szCs w:val="22"/>
                <w:rFonts w:ascii="Calibri" w:cs="Calibri" w:eastAsia="Calibri" w:hAnsi="Calibri"/>
              </w:rPr>
              <w:t xml:space="preserve">Segurança de redes e comunicações</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r>
              <w:rPr>
                <w:b w:val="false"/>
                <w:bCs w:val="false"/>
                <w:color w:val="374151"/>
                <w:sz w:val="22"/>
                <w:szCs w:val="22"/>
                <w:rFonts w:ascii="Calibri" w:cs="Calibri" w:eastAsia="Calibri" w:hAnsi="Calibri"/>
              </w:rPr>
              <w:t xml:space="preserve">4 dias</w:t>
            </w:r>
          </w:p>
        </w:tc>
        <w:tc>
          <w:tcPr>
            <w:shd w:color="f3f4f6" w:val="solid"/>
            <w:vAlign w:val="center"/>
          </w:tcPr>
          <w:p>
            <w:r>
              <w:rPr>
                <w:b w:val="false"/>
                <w:bCs w:val="false"/>
                <w:color w:val="374151"/>
                <w:sz w:val="22"/>
                <w:szCs w:val="22"/>
                <w:rFonts w:ascii="Calibri" w:cs="Calibri" w:eastAsia="Calibri" w:hAnsi="Calibri"/>
              </w:rPr>
              <w:t xml:space="preserve">[Auditor interno / externo]</w:t>
            </w:r>
          </w:p>
        </w:tc>
      </w:tr>
      <w:tr>
        <w:tc>
          <w:tcPr>
            <w:vAlign w:val="center"/>
          </w:tcPr>
          <w:p>
            <w:r>
              <w:rPr>
                <w:b/>
                <w:bCs/>
                <w:color w:val="374151"/>
                <w:sz w:val="22"/>
                <w:szCs w:val="22"/>
                <w:rFonts w:ascii="Calibri" w:cs="Calibri" w:eastAsia="Calibri" w:hAnsi="Calibri"/>
              </w:rPr>
              <w:t xml:space="preserve">Gestão de incidentes</w:t>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vAlign w:val="center"/>
          </w:tcPr>
          <w:p>
            <w:r>
              <w:rPr>
                <w:b w:val="false"/>
                <w:bCs w:val="false"/>
                <w:color w:val="374151"/>
                <w:sz w:val="22"/>
                <w:szCs w:val="22"/>
                <w:rFonts w:ascii="Calibri" w:cs="Calibri" w:eastAsia="Calibri" w:hAnsi="Calibri"/>
              </w:rPr>
              <w:t xml:space="preserve">2 dias</w:t>
            </w:r>
          </w:p>
        </w:tc>
        <w:tc>
          <w:tcPr>
            <w:vAlign w:val="center"/>
          </w:tcPr>
          <w:p>
            <w:r>
              <w:rPr>
                <w:b w:val="false"/>
                <w:bCs w:val="false"/>
                <w:color w:val="374151"/>
                <w:sz w:val="22"/>
                <w:szCs w:val="22"/>
                <w:rFonts w:ascii="Calibri" w:cs="Calibri" w:eastAsia="Calibri" w:hAnsi="Calibri"/>
              </w:rPr>
              <w:t xml:space="preserve">[Auditor interno]</w:t>
            </w:r>
          </w:p>
        </w:tc>
      </w:tr>
      <w:tr>
        <w:tc>
          <w:tcPr>
            <w:shd w:color="f3f4f6" w:val="solid"/>
            <w:vAlign w:val="center"/>
          </w:tcPr>
          <w:p>
            <w:r>
              <w:rPr>
                <w:b/>
                <w:bCs/>
                <w:color w:val="374151"/>
                <w:sz w:val="22"/>
                <w:szCs w:val="22"/>
                <w:rFonts w:ascii="Calibri" w:cs="Calibri" w:eastAsia="Calibri" w:hAnsi="Calibri"/>
              </w:rPr>
              <w:t xml:space="preserve">Continuidade de negócio e DR</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r>
              <w:rPr>
                <w:b w:val="false"/>
                <w:bCs w:val="false"/>
                <w:color w:val="374151"/>
                <w:sz w:val="22"/>
                <w:szCs w:val="22"/>
                <w:rFonts w:ascii="Calibri" w:cs="Calibri" w:eastAsia="Calibri" w:hAnsi="Calibri"/>
              </w:rPr>
              <w:t xml:space="preserve">3 dias</w:t>
            </w:r>
          </w:p>
        </w:tc>
        <w:tc>
          <w:tcPr>
            <w:shd w:color="f3f4f6" w:val="solid"/>
            <w:vAlign w:val="center"/>
          </w:tcPr>
          <w:p>
            <w:r>
              <w:rPr>
                <w:b w:val="false"/>
                <w:bCs w:val="false"/>
                <w:color w:val="374151"/>
                <w:sz w:val="22"/>
                <w:szCs w:val="22"/>
                <w:rFonts w:ascii="Calibri" w:cs="Calibri" w:eastAsia="Calibri" w:hAnsi="Calibri"/>
              </w:rPr>
              <w:t xml:space="preserve">[Auditor interno]</w:t>
            </w:r>
          </w:p>
        </w:tc>
      </w:tr>
      <w:tr>
        <w:tc>
          <w:tcPr>
            <w:vAlign w:val="center"/>
          </w:tcPr>
          <w:p>
            <w:r>
              <w:rPr>
                <w:b/>
                <w:bCs/>
                <w:color w:val="374151"/>
                <w:sz w:val="22"/>
                <w:szCs w:val="22"/>
                <w:rFonts w:ascii="Calibri" w:cs="Calibri" w:eastAsia="Calibri" w:hAnsi="Calibri"/>
              </w:rPr>
              <w:t xml:space="preserve">Gestão de riscos</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3 dias</w:t>
            </w:r>
          </w:p>
        </w:tc>
        <w:tc>
          <w:tcPr>
            <w:vAlign w:val="center"/>
          </w:tcPr>
          <w:p>
            <w:r>
              <w:rPr>
                <w:b w:val="false"/>
                <w:bCs w:val="false"/>
                <w:color w:val="374151"/>
                <w:sz w:val="22"/>
                <w:szCs w:val="22"/>
                <w:rFonts w:ascii="Calibri" w:cs="Calibri" w:eastAsia="Calibri" w:hAnsi="Calibri"/>
              </w:rPr>
              <w:t xml:space="preserve">[Auditor interno / externo]</w:t>
            </w:r>
          </w:p>
        </w:tc>
      </w:tr>
      <w:tr>
        <w:tc>
          <w:tcPr>
            <w:shd w:color="f3f4f6" w:val="solid"/>
            <w:vAlign w:val="center"/>
          </w:tcPr>
          <w:p>
            <w:r>
              <w:rPr>
                <w:b/>
                <w:bCs/>
                <w:color w:val="374151"/>
                <w:sz w:val="22"/>
                <w:szCs w:val="22"/>
                <w:rFonts w:ascii="Calibri" w:cs="Calibri" w:eastAsia="Calibri" w:hAnsi="Calibri"/>
              </w:rPr>
              <w:t xml:space="preserve">Segurança da cadeia de abastecimento</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r>
              <w:rPr>
                <w:b w:val="false"/>
                <w:bCs w:val="false"/>
                <w:color w:val="374151"/>
                <w:sz w:val="22"/>
                <w:szCs w:val="22"/>
                <w:rFonts w:ascii="Calibri" w:cs="Calibri" w:eastAsia="Calibri" w:hAnsi="Calibri"/>
              </w:rPr>
              <w:t xml:space="preserve">3 dias</w:t>
            </w:r>
          </w:p>
        </w:tc>
        <w:tc>
          <w:tcPr>
            <w:shd w:color="f3f4f6" w:val="solid"/>
            <w:vAlign w:val="center"/>
          </w:tcPr>
          <w:p>
            <w:r>
              <w:rPr>
                <w:b w:val="false"/>
                <w:bCs w:val="false"/>
                <w:color w:val="374151"/>
                <w:sz w:val="22"/>
                <w:szCs w:val="22"/>
                <w:rFonts w:ascii="Calibri" w:cs="Calibri" w:eastAsia="Calibri" w:hAnsi="Calibri"/>
              </w:rPr>
              <w:t xml:space="preserve">[Auditor externo]</w:t>
            </w:r>
          </w:p>
        </w:tc>
      </w:tr>
      <w:tr>
        <w:tc>
          <w:tcPr>
            <w:vAlign w:val="center"/>
          </w:tcPr>
          <w:p>
            <w:r>
              <w:rPr>
                <w:b/>
                <w:bCs/>
                <w:color w:val="374151"/>
                <w:sz w:val="22"/>
                <w:szCs w:val="22"/>
                <w:rFonts w:ascii="Calibri" w:cs="Calibri" w:eastAsia="Calibri" w:hAnsi="Calibri"/>
              </w:rPr>
              <w:t xml:space="preserve">Gestão de vulnerabilidades (1.º semestre)</w:t>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vAlign w:val="center"/>
          </w:tcPr>
          <w:p>
            <w:r>
              <w:rPr>
                <w:b w:val="false"/>
                <w:bCs w:val="false"/>
                <w:color w:val="374151"/>
                <w:sz w:val="22"/>
                <w:szCs w:val="22"/>
                <w:rFonts w:ascii="Calibri" w:cs="Calibri" w:eastAsia="Calibri" w:hAnsi="Calibri"/>
              </w:rPr>
              <w:t xml:space="preserve">2 dias</w:t>
            </w:r>
          </w:p>
        </w:tc>
        <w:tc>
          <w:tcPr>
            <w:vAlign w:val="center"/>
          </w:tcPr>
          <w:p>
            <w:r>
              <w:rPr>
                <w:b w:val="false"/>
                <w:bCs w:val="false"/>
                <w:color w:val="374151"/>
                <w:sz w:val="22"/>
                <w:szCs w:val="22"/>
                <w:rFonts w:ascii="Calibri" w:cs="Calibri" w:eastAsia="Calibri" w:hAnsi="Calibri"/>
              </w:rPr>
              <w:t xml:space="preserve">[Auditor interno]</w:t>
            </w:r>
          </w:p>
        </w:tc>
      </w:tr>
      <w:tr>
        <w:tc>
          <w:tcPr>
            <w:shd w:color="f3f4f6" w:val="solid"/>
            <w:vAlign w:val="center"/>
          </w:tcPr>
          <w:p>
            <w:r>
              <w:rPr>
                <w:b/>
                <w:bCs/>
                <w:color w:val="374151"/>
                <w:sz w:val="22"/>
                <w:szCs w:val="22"/>
                <w:rFonts w:ascii="Calibri" w:cs="Calibri" w:eastAsia="Calibri" w:hAnsi="Calibri"/>
              </w:rPr>
              <w:t xml:space="preserve">Gestão de vulnerabilidades (2.º semestre)</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r>
              <w:rPr>
                <w:b w:val="false"/>
                <w:bCs w:val="false"/>
                <w:color w:val="374151"/>
                <w:sz w:val="22"/>
                <w:szCs w:val="22"/>
                <w:rFonts w:ascii="Calibri" w:cs="Calibri" w:eastAsia="Calibri" w:hAnsi="Calibri"/>
              </w:rPr>
              <w:t xml:space="preserve">2 dias</w:t>
            </w:r>
          </w:p>
        </w:tc>
        <w:tc>
          <w:tcPr>
            <w:shd w:color="f3f4f6" w:val="solid"/>
            <w:vAlign w:val="center"/>
          </w:tcPr>
          <w:p>
            <w:r>
              <w:rPr>
                <w:b w:val="false"/>
                <w:bCs w:val="false"/>
                <w:color w:val="374151"/>
                <w:sz w:val="22"/>
                <w:szCs w:val="22"/>
                <w:rFonts w:ascii="Calibri" w:cs="Calibri" w:eastAsia="Calibri" w:hAnsi="Calibri"/>
              </w:rPr>
              <w:t xml:space="preserve">[Auditor interno]</w:t>
            </w:r>
          </w:p>
        </w:tc>
      </w:tr>
      <w:tr>
        <w:tc>
          <w:tcPr>
            <w:vAlign w:val="center"/>
          </w:tcPr>
          <w:p>
            <w:r>
              <w:rPr>
                <w:b/>
                <w:bCs/>
                <w:color w:val="374151"/>
                <w:sz w:val="22"/>
                <w:szCs w:val="22"/>
                <w:rFonts w:ascii="Calibri" w:cs="Calibri" w:eastAsia="Calibri" w:hAnsi="Calibri"/>
              </w:rPr>
              <w:t xml:space="preserve">Proteção de dados (RGPD)</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vAlign w:val="center"/>
          </w:tcPr>
          <w:p>
            <w:r>
              <w:rPr>
                <w:b w:val="false"/>
                <w:bCs w:val="false"/>
                <w:color w:val="374151"/>
                <w:sz w:val="22"/>
                <w:szCs w:val="22"/>
                <w:rFonts w:ascii="Calibri" w:cs="Calibri" w:eastAsia="Calibri" w:hAnsi="Calibri"/>
              </w:rPr>
              <w:t xml:space="preserve">3 dias</w:t>
            </w:r>
          </w:p>
        </w:tc>
        <w:tc>
          <w:tcPr>
            <w:vAlign w:val="center"/>
          </w:tcPr>
          <w:p>
            <w:r>
              <w:rPr>
                <w:b w:val="false"/>
                <w:bCs w:val="false"/>
                <w:color w:val="374151"/>
                <w:sz w:val="22"/>
                <w:szCs w:val="22"/>
                <w:rFonts w:ascii="Calibri" w:cs="Calibri" w:eastAsia="Calibri" w:hAnsi="Calibri"/>
              </w:rPr>
              <w:t xml:space="preserve">[DPO / Auditor externo]</w:t>
            </w:r>
          </w:p>
        </w:tc>
      </w:tr>
      <w:tr>
        <w:tc>
          <w:tcPr>
            <w:shd w:color="f3f4f6" w:val="solid"/>
            <w:vAlign w:val="center"/>
          </w:tcPr>
          <w:p>
            <w:r>
              <w:rPr>
                <w:b/>
                <w:bCs/>
                <w:color w:val="374151"/>
                <w:sz w:val="22"/>
                <w:szCs w:val="22"/>
                <w:rFonts w:ascii="Calibri" w:cs="Calibri" w:eastAsia="Calibri" w:hAnsi="Calibri"/>
              </w:rPr>
              <w:t xml:space="preserve">Segurança física e ambiental</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shd w:color="f3f4f6" w:val="solid"/>
            <w:vAlign w:val="center"/>
          </w:tcPr>
          <w:p>
            <w:r>
              <w:rPr>
                <w:b w:val="false"/>
                <w:bCs w:val="false"/>
                <w:color w:val="374151"/>
                <w:sz w:val="22"/>
                <w:szCs w:val="22"/>
                <w:rFonts w:ascii="Calibri" w:cs="Calibri" w:eastAsia="Calibri" w:hAnsi="Calibri"/>
              </w:rPr>
              <w:t xml:space="preserve">2 dias</w:t>
            </w:r>
          </w:p>
        </w:tc>
        <w:tc>
          <w:tcPr>
            <w:shd w:color="f3f4f6" w:val="solid"/>
            <w:vAlign w:val="center"/>
          </w:tcPr>
          <w:p>
            <w:r>
              <w:rPr>
                <w:b w:val="false"/>
                <w:bCs w:val="false"/>
                <w:color w:val="374151"/>
                <w:sz w:val="22"/>
                <w:szCs w:val="22"/>
                <w:rFonts w:ascii="Calibri" w:cs="Calibri" w:eastAsia="Calibri" w:hAnsi="Calibri"/>
              </w:rPr>
              <w:t xml:space="preserve">[Auditor interno]</w:t>
            </w:r>
          </w:p>
        </w:tc>
      </w:tr>
      <w:tr>
        <w:tc>
          <w:tcPr>
            <w:vAlign w:val="center"/>
          </w:tcPr>
          <w:p>
            <w:r>
              <w:rPr>
                <w:b/>
                <w:bCs/>
                <w:color w:val="374151"/>
                <w:sz w:val="22"/>
                <w:szCs w:val="22"/>
                <w:rFonts w:ascii="Calibri" w:cs="Calibri" w:eastAsia="Calibri" w:hAnsi="Calibri"/>
              </w:rPr>
              <w:t xml:space="preserve">Auditoria de conformidade global NIS2</w:t>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f3f4f6" w:val="solid"/>
            <w:vAlign w:val="center"/>
          </w:tcPr>
          <w:p>
            <w:pPr>
              <w:jc w:val="center"/>
            </w:pPr>
            <w:r>
              <w:rPr>
                <w:b w:val="false"/>
                <w:bCs w:val="false"/>
                <w:color w:val="374151"/>
                <w:sz w:val="22"/>
                <w:szCs w:val="22"/>
                <w:rFonts w:ascii="Calibri" w:cs="Calibri" w:eastAsia="Calibri" w:hAnsi="Calibri"/>
              </w:rPr>
            </w:r>
          </w:p>
        </w:tc>
        <w:tc>
          <w:tcPr>
            <w:shd w:color="1e3a8a" w:val="solid"/>
            <w:vAlign w:val="center"/>
          </w:tcPr>
          <w:p>
            <w:pPr>
              <w:jc w:val="center"/>
            </w:pPr>
            <w:r>
              <w:rPr>
                <w:b w:val="false"/>
                <w:bCs w:val="false"/>
                <w:color w:val="ffffff"/>
                <w:sz w:val="22"/>
                <w:szCs w:val="22"/>
                <w:rFonts w:ascii="Calibri" w:cs="Calibri" w:eastAsia="Calibri" w:hAnsi="Calibri"/>
              </w:rPr>
              <w:t xml:space="preserve">X</w:t>
            </w:r>
          </w:p>
        </w:tc>
        <w:tc>
          <w:tcPr>
            <w:vAlign w:val="center"/>
          </w:tcPr>
          <w:p>
            <w:r>
              <w:rPr>
                <w:b w:val="false"/>
                <w:bCs w:val="false"/>
                <w:color w:val="374151"/>
                <w:sz w:val="22"/>
                <w:szCs w:val="22"/>
                <w:rFonts w:ascii="Calibri" w:cs="Calibri" w:eastAsia="Calibri" w:hAnsi="Calibri"/>
              </w:rPr>
              <w:t xml:space="preserve">5 dias</w:t>
            </w:r>
          </w:p>
        </w:tc>
        <w:tc>
          <w:tcPr>
            <w:vAlign w:val="center"/>
          </w:tcPr>
          <w:p>
            <w:r>
              <w:rPr>
                <w:b w:val="false"/>
                <w:bCs w:val="false"/>
                <w:color w:val="374151"/>
                <w:sz w:val="22"/>
                <w:szCs w:val="22"/>
                <w:rFonts w:ascii="Calibri" w:cs="Calibri" w:eastAsia="Calibri" w:hAnsi="Calibri"/>
              </w:rPr>
              <w:t xml:space="preserve">[Auditor externo]</w:t>
            </w:r>
          </w:p>
        </w:tc>
      </w:tr>
    </w:tbl>
    <w:p>
      <w:pPr>
        <w:spacing w:after="160"/>
      </w:pPr>
    </w:p>
    <w:p>
      <w:pPr>
        <w:spacing w:after="160"/>
      </w:pPr>
      <w:r>
        <w:rPr>
          <w:color w:val="374151"/>
          <w:sz w:val="22"/>
          <w:szCs w:val="22"/>
          <w:rFonts w:ascii="Calibri" w:cs="Calibri" w:eastAsia="Calibri" w:hAnsi="Calibri"/>
        </w:rPr>
        <w:t xml:space="preserve">O cronograma pode ser ajustado ao longo do ano em função de circunstâncias excepcionais (por exemplo, incidente grave, resultado de auditoria que exija auditoria de seguimento urgente), mediante aprovação do CISO e comunicação prévia às áreas afetadas com antecedência mínima de duas semanas.</w:t>
      </w:r>
    </w:p>
    <w:p>
      <w:pPr>
        <w:shd w:color="dbeafe" w:val="solid"/>
        <w:spacing w:before="160" w:after="160"/>
        <w:ind w:left="360" w:right="360"/>
      </w:pPr>
      <w:r>
        <w:rPr>
          <w:i/>
          <w:iCs/>
          <w:color w:val="1e3a8a"/>
          <w:sz w:val="22"/>
          <w:szCs w:val="22"/>
          <w:rFonts w:ascii="Calibri" w:cs="Calibri" w:eastAsia="Calibri" w:hAnsi="Calibri"/>
        </w:rPr>
        <w:t xml:space="preserve">Art. 25.º e Art. 27.º do DL 125/2025 — a realização de auditorias internas regulares é um mecanismo essencial para demonstrar a adequação e efetividade das medidas de gestão de riscos de cibersegurança implementadas, conforme exigido pelo DL 125/2025.</w:t>
      </w:r>
    </w:p>
    <w:p>
      <w:pPr>
        <w:pStyle w:val="Heading1"/>
        <w:spacing w:before="400" w:after="200"/>
      </w:pPr>
      <w:r>
        <w:rPr>
          <w:b/>
          <w:bCs/>
          <w:color w:val="1e3a8a"/>
          <w:sz w:val="32"/>
          <w:szCs w:val="32"/>
          <w:rFonts w:ascii="Calibri" w:cs="Calibri" w:eastAsia="Calibri" w:hAnsi="Calibri"/>
        </w:rPr>
        <w:t xml:space="preserve">7. Seleção e qualificação de auditores</w:t>
      </w:r>
    </w:p>
    <w:p>
      <w:pPr>
        <w:spacing w:after="160"/>
      </w:pPr>
      <w:r>
        <w:rPr>
          <w:color w:val="374151"/>
          <w:sz w:val="22"/>
          <w:szCs w:val="22"/>
          <w:rFonts w:ascii="Calibri" w:cs="Calibri" w:eastAsia="Calibri" w:hAnsi="Calibri"/>
        </w:rPr>
        <w:t xml:space="preserve">A qualidade e imparcialidade das auditorias depende criticamente da seleção de auditores com as competências técnicas adequadas e a independência necessária. Os requisitos de qualificação variam em função do tipo e âmbito de cada auditoria.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color="1e3a8a" w:val="solid"/>
            <w:vAlign w:val="center"/>
          </w:tcPr>
          <w:p>
            <w:pPr>
              <w:jc w:val="center"/>
            </w:pPr>
            <w:r>
              <w:rPr>
                <w:b/>
                <w:bCs/>
                <w:color w:val="ffffff"/>
                <w:sz w:val="22"/>
                <w:szCs w:val="22"/>
                <w:rFonts w:ascii="Calibri" w:cs="Calibri" w:eastAsia="Calibri" w:hAnsi="Calibri"/>
              </w:rPr>
              <w:t xml:space="preserve">Tipo de auditoria</w:t>
            </w:r>
          </w:p>
        </w:tc>
        <w:tc>
          <w:tcPr>
            <w:shd w:color="1e3a8a" w:val="solid"/>
            <w:vAlign w:val="center"/>
          </w:tcPr>
          <w:p>
            <w:pPr>
              <w:jc w:val="center"/>
            </w:pPr>
            <w:r>
              <w:rPr>
                <w:b/>
                <w:bCs/>
                <w:color w:val="ffffff"/>
                <w:sz w:val="22"/>
                <w:szCs w:val="22"/>
                <w:rFonts w:ascii="Calibri" w:cs="Calibri" w:eastAsia="Calibri" w:hAnsi="Calibri"/>
              </w:rPr>
              <w:t xml:space="preserve">Requisitos mínimos do auditor</w:t>
            </w:r>
          </w:p>
        </w:tc>
        <w:tc>
          <w:tcPr>
            <w:shd w:color="1e3a8a" w:val="solid"/>
            <w:vAlign w:val="center"/>
          </w:tcPr>
          <w:p>
            <w:pPr>
              <w:jc w:val="center"/>
            </w:pPr>
            <w:r>
              <w:rPr>
                <w:b/>
                <w:bCs/>
                <w:color w:val="ffffff"/>
                <w:sz w:val="22"/>
                <w:szCs w:val="22"/>
                <w:rFonts w:ascii="Calibri" w:cs="Calibri" w:eastAsia="Calibri" w:hAnsi="Calibri"/>
              </w:rPr>
              <w:t xml:space="preserve">Independência requerida</w:t>
            </w:r>
          </w:p>
        </w:tc>
        <w:tc>
          <w:tcPr>
            <w:shd w:color="1e3a8a" w:val="solid"/>
            <w:vAlign w:val="center"/>
          </w:tcPr>
          <w:p>
            <w:pPr>
              <w:jc w:val="center"/>
            </w:pPr>
            <w:r>
              <w:rPr>
                <w:b/>
                <w:bCs/>
                <w:color w:val="ffffff"/>
                <w:sz w:val="22"/>
                <w:szCs w:val="22"/>
                <w:rFonts w:ascii="Calibri" w:cs="Calibri" w:eastAsia="Calibri" w:hAnsi="Calibri"/>
              </w:rPr>
              <w:t xml:space="preserve">Aprovação</w:t>
            </w:r>
          </w:p>
        </w:tc>
      </w:tr>
      <w:tr>
        <w:tc>
          <w:tcPr>
            <w:vAlign w:val="center"/>
          </w:tcPr>
          <w:p>
            <w:r>
              <w:rPr>
                <w:b w:val="false"/>
                <w:bCs w:val="false"/>
                <w:color w:val="374151"/>
                <w:sz w:val="22"/>
                <w:szCs w:val="22"/>
                <w:rFonts w:ascii="Calibri" w:cs="Calibri" w:eastAsia="Calibri" w:hAnsi="Calibri"/>
              </w:rPr>
              <w:t xml:space="preserve">Auditoria interna de cibersegurança</w:t>
            </w:r>
          </w:p>
        </w:tc>
        <w:tc>
          <w:tcPr>
            <w:vAlign w:val="center"/>
          </w:tcPr>
          <w:p>
            <w:r>
              <w:rPr>
                <w:b w:val="false"/>
                <w:bCs w:val="false"/>
                <w:color w:val="374151"/>
                <w:sz w:val="22"/>
                <w:szCs w:val="22"/>
                <w:rFonts w:ascii="Calibri" w:cs="Calibri" w:eastAsia="Calibri" w:hAnsi="Calibri"/>
              </w:rPr>
              <w:t xml:space="preserve">Conhecimento de ISO 27001 ou DL 125/2025; experiência em segurança de informação; sem responsabilidade direta na área auditada</w:t>
            </w:r>
          </w:p>
        </w:tc>
        <w:tc>
          <w:tcPr>
            <w:vAlign w:val="center"/>
          </w:tcPr>
          <w:p>
            <w:r>
              <w:rPr>
                <w:b w:val="false"/>
                <w:bCs w:val="false"/>
                <w:color w:val="374151"/>
                <w:sz w:val="22"/>
                <w:szCs w:val="22"/>
                <w:rFonts w:ascii="Calibri" w:cs="Calibri" w:eastAsia="Calibri" w:hAnsi="Calibri"/>
              </w:rPr>
              <w:t xml:space="preserve">Não pode auditar área pela qual é diretamente responsável</w:t>
            </w:r>
          </w:p>
        </w:tc>
        <w:tc>
          <w:tcPr>
            <w:vAlign w:val="center"/>
          </w:tcPr>
          <w:p>
            <w:r>
              <w:rPr>
                <w:b w:val="false"/>
                <w:bCs w:val="false"/>
                <w:color w:val="374151"/>
                <w:sz w:val="22"/>
                <w:szCs w:val="22"/>
                <w:rFonts w:ascii="Calibri" w:cs="Calibri" w:eastAsia="Calibri" w:hAnsi="Calibri"/>
              </w:rPr>
              <w:t xml:space="preserve">CISO</w:t>
            </w:r>
          </w:p>
        </w:tc>
      </w:tr>
      <w:tr>
        <w:tc>
          <w:tcPr>
            <w:shd w:color="f3f4f6" w:val="solid"/>
            <w:vAlign w:val="center"/>
          </w:tcPr>
          <w:p>
            <w:r>
              <w:rPr>
                <w:b w:val="false"/>
                <w:bCs w:val="false"/>
                <w:color w:val="374151"/>
                <w:sz w:val="22"/>
                <w:szCs w:val="22"/>
                <w:rFonts w:ascii="Calibri" w:cs="Calibri" w:eastAsia="Calibri" w:hAnsi="Calibri"/>
              </w:rPr>
              <w:t xml:space="preserve">Auditoria de conformidade NIS2</w:t>
            </w:r>
          </w:p>
        </w:tc>
        <w:tc>
          <w:tcPr>
            <w:shd w:color="f3f4f6" w:val="solid"/>
            <w:vAlign w:val="center"/>
          </w:tcPr>
          <w:p>
            <w:r>
              <w:rPr>
                <w:b w:val="false"/>
                <w:bCs w:val="false"/>
                <w:color w:val="374151"/>
                <w:sz w:val="22"/>
                <w:szCs w:val="22"/>
                <w:rFonts w:ascii="Calibri" w:cs="Calibri" w:eastAsia="Calibri" w:hAnsi="Calibri"/>
              </w:rPr>
              <w:t xml:space="preserve">Certificação em segurança de informação (CISM, CISSP ou equivalente) ou experiência documentada em auditorias NIS2/ISO 27001</w:t>
            </w:r>
          </w:p>
        </w:tc>
        <w:tc>
          <w:tcPr>
            <w:shd w:color="f3f4f6" w:val="solid"/>
            <w:vAlign w:val="center"/>
          </w:tcPr>
          <w:p>
            <w:r>
              <w:rPr>
                <w:b w:val="false"/>
                <w:bCs w:val="false"/>
                <w:color w:val="374151"/>
                <w:sz w:val="22"/>
                <w:szCs w:val="22"/>
                <w:rFonts w:ascii="Calibri" w:cs="Calibri" w:eastAsia="Calibri" w:hAnsi="Calibri"/>
              </w:rPr>
              <w:t xml:space="preserve">Recomendado auditor externo independente</w:t>
            </w:r>
          </w:p>
        </w:tc>
        <w:tc>
          <w:tcPr>
            <w:shd w:color="f3f4f6" w:val="solid"/>
            <w:vAlign w:val="center"/>
          </w:tcPr>
          <w:p>
            <w:r>
              <w:rPr>
                <w:b w:val="false"/>
                <w:bCs w:val="false"/>
                <w:color w:val="374151"/>
                <w:sz w:val="22"/>
                <w:szCs w:val="22"/>
                <w:rFonts w:ascii="Calibri" w:cs="Calibri" w:eastAsia="Calibri" w:hAnsi="Calibri"/>
              </w:rPr>
              <w:t xml:space="preserve">CISO + Gestão de topo</w:t>
            </w:r>
          </w:p>
        </w:tc>
      </w:tr>
      <w:tr>
        <w:tc>
          <w:tcPr>
            <w:vAlign w:val="center"/>
          </w:tcPr>
          <w:p>
            <w:r>
              <w:rPr>
                <w:b w:val="false"/>
                <w:bCs w:val="false"/>
                <w:color w:val="374151"/>
                <w:sz w:val="22"/>
                <w:szCs w:val="22"/>
                <w:rFonts w:ascii="Calibri" w:cs="Calibri" w:eastAsia="Calibri" w:hAnsi="Calibri"/>
              </w:rPr>
              <w:t xml:space="preserve">Auditoria de proteção de dados</w:t>
            </w:r>
          </w:p>
        </w:tc>
        <w:tc>
          <w:tcPr>
            <w:vAlign w:val="center"/>
          </w:tcPr>
          <w:p>
            <w:r>
              <w:rPr>
                <w:b w:val="false"/>
                <w:bCs w:val="false"/>
                <w:color w:val="374151"/>
                <w:sz w:val="22"/>
                <w:szCs w:val="22"/>
                <w:rFonts w:ascii="Calibri" w:cs="Calibri" w:eastAsia="Calibri" w:hAnsi="Calibri"/>
              </w:rPr>
              <w:t xml:space="preserve">Conhecimento do RGPD e da legislação nacional; experiência em auditorias de privacidade</w:t>
            </w:r>
          </w:p>
        </w:tc>
        <w:tc>
          <w:tcPr>
            <w:vAlign w:val="center"/>
          </w:tcPr>
          <w:p>
            <w:r>
              <w:rPr>
                <w:b w:val="false"/>
                <w:bCs w:val="false"/>
                <w:color w:val="374151"/>
                <w:sz w:val="22"/>
                <w:szCs w:val="22"/>
                <w:rFonts w:ascii="Calibri" w:cs="Calibri" w:eastAsia="Calibri" w:hAnsi="Calibri"/>
              </w:rPr>
              <w:t xml:space="preserve">DPO pode ser auditor ou supervisionar</w:t>
            </w:r>
          </w:p>
        </w:tc>
        <w:tc>
          <w:tcPr>
            <w:vAlign w:val="center"/>
          </w:tcPr>
          <w:p>
            <w:r>
              <w:rPr>
                <w:b w:val="false"/>
                <w:bCs w:val="false"/>
                <w:color w:val="374151"/>
                <w:sz w:val="22"/>
                <w:szCs w:val="22"/>
                <w:rFonts w:ascii="Calibri" w:cs="Calibri" w:eastAsia="Calibri" w:hAnsi="Calibri"/>
              </w:rPr>
              <w:t xml:space="preserve">DPO + CISO</w:t>
            </w:r>
          </w:p>
        </w:tc>
      </w:tr>
      <w:tr>
        <w:tc>
          <w:tcPr>
            <w:shd w:color="f3f4f6" w:val="solid"/>
            <w:vAlign w:val="center"/>
          </w:tcPr>
          <w:p>
            <w:r>
              <w:rPr>
                <w:b w:val="false"/>
                <w:bCs w:val="false"/>
                <w:color w:val="374151"/>
                <w:sz w:val="22"/>
                <w:szCs w:val="22"/>
                <w:rFonts w:ascii="Calibri" w:cs="Calibri" w:eastAsia="Calibri" w:hAnsi="Calibri"/>
              </w:rPr>
              <w:t xml:space="preserve">Auditoria técnica de infraestrutura</w:t>
            </w:r>
          </w:p>
        </w:tc>
        <w:tc>
          <w:tcPr>
            <w:shd w:color="f3f4f6" w:val="solid"/>
            <w:vAlign w:val="center"/>
          </w:tcPr>
          <w:p>
            <w:r>
              <w:rPr>
                <w:b w:val="false"/>
                <w:bCs w:val="false"/>
                <w:color w:val="374151"/>
                <w:sz w:val="22"/>
                <w:szCs w:val="22"/>
                <w:rFonts w:ascii="Calibri" w:cs="Calibri" w:eastAsia="Calibri" w:hAnsi="Calibri"/>
              </w:rPr>
              <w:t xml:space="preserve">Competências técnicas certificadas na área auditada (redes, sistemas, BD); pode ser auditor interno especialista</w:t>
            </w:r>
          </w:p>
        </w:tc>
        <w:tc>
          <w:tcPr>
            <w:shd w:color="f3f4f6" w:val="solid"/>
            <w:vAlign w:val="center"/>
          </w:tcPr>
          <w:p>
            <w:r>
              <w:rPr>
                <w:b w:val="false"/>
                <w:bCs w:val="false"/>
                <w:color w:val="374151"/>
                <w:sz w:val="22"/>
                <w:szCs w:val="22"/>
                <w:rFonts w:ascii="Calibri" w:cs="Calibri" w:eastAsia="Calibri" w:hAnsi="Calibri"/>
              </w:rPr>
              <w:t xml:space="preserve">Sem responsabilidade direta nos sistemas auditados</w:t>
            </w:r>
          </w:p>
        </w:tc>
        <w:tc>
          <w:tcPr>
            <w:shd w:color="f3f4f6" w:val="solid"/>
            <w:vAlign w:val="center"/>
          </w:tcPr>
          <w:p>
            <w:r>
              <w:rPr>
                <w:b w:val="false"/>
                <w:bCs w:val="false"/>
                <w:color w:val="374151"/>
                <w:sz w:val="22"/>
                <w:szCs w:val="22"/>
                <w:rFonts w:ascii="Calibri" w:cs="Calibri" w:eastAsia="Calibri" w:hAnsi="Calibri"/>
              </w:rPr>
              <w:t xml:space="preserve">Diretor de TI + CISO</w:t>
            </w:r>
          </w:p>
        </w:tc>
      </w:tr>
    </w:tbl>
    <w:p>
      <w:pPr>
        <w:spacing w:after="160"/>
      </w:pPr>
    </w:p>
    <w:p>
      <w:pPr>
        <w:pStyle w:val="Heading2"/>
        <w:spacing w:before="320" w:after="160"/>
      </w:pPr>
      <w:r>
        <w:rPr>
          <w:b/>
          <w:bCs/>
          <w:color w:val="1e3a8a"/>
          <w:sz w:val="28"/>
          <w:szCs w:val="28"/>
          <w:rFonts w:ascii="Calibri" w:cs="Calibri" w:eastAsia="Calibri" w:hAnsi="Calibri"/>
        </w:rPr>
        <w:t xml:space="preserve">7.1. Princípio da independência</w:t>
      </w:r>
    </w:p>
    <w:p>
      <w:pPr>
        <w:spacing w:after="160"/>
      </w:pPr>
      <w:r>
        <w:rPr>
          <w:color w:val="374151"/>
          <w:sz w:val="22"/>
          <w:szCs w:val="22"/>
          <w:rFonts w:ascii="Calibri" w:cs="Calibri" w:eastAsia="Calibri" w:hAnsi="Calibri"/>
        </w:rPr>
        <w:t xml:space="preserve">A independência dos auditores é um requisito fundamental para a credibilidade das auditorias internas. Os seguintes princípios de independência devem ser respeitados:</w:t>
      </w:r>
    </w:p>
    <w:p>
      <w:pPr>
        <w:pStyle w:val="ListParagraph"/>
        <w:numPr>
          <w:ilvl w:val="0"/>
          <w:numId w:val="1"/>
        </w:numPr>
        <w:spacing w:after="80"/>
      </w:pPr>
      <w:r>
        <w:rPr>
          <w:color w:val="374151"/>
          <w:sz w:val="22"/>
          <w:szCs w:val="22"/>
          <w:rFonts w:ascii="Calibri" w:cs="Calibri" w:eastAsia="Calibri" w:hAnsi="Calibri"/>
        </w:rPr>
        <w:t xml:space="preserve">Os auditores não podem auditar processos pelos quais são diretamente responsáveis ou em que participam diretamente</w:t>
      </w:r>
    </w:p>
    <w:p>
      <w:pPr>
        <w:pStyle w:val="ListParagraph"/>
        <w:numPr>
          <w:ilvl w:val="0"/>
          <w:numId w:val="1"/>
        </w:numPr>
        <w:spacing w:after="80"/>
      </w:pPr>
      <w:r>
        <w:rPr>
          <w:color w:val="374151"/>
          <w:sz w:val="22"/>
          <w:szCs w:val="22"/>
          <w:rFonts w:ascii="Calibri" w:cs="Calibri" w:eastAsia="Calibri" w:hAnsi="Calibri"/>
        </w:rPr>
        <w:t xml:space="preserve">Os auditores não devem ter conflitos de interesse com as áreas auditadas — qualquer potencial conflito deve ser declarado e avaliado antes da designação</w:t>
      </w:r>
    </w:p>
    <w:p>
      <w:pPr>
        <w:pStyle w:val="ListParagraph"/>
        <w:numPr>
          <w:ilvl w:val="0"/>
          <w:numId w:val="1"/>
        </w:numPr>
        <w:spacing w:after="80"/>
      </w:pPr>
      <w:r>
        <w:rPr>
          <w:color w:val="374151"/>
          <w:sz w:val="22"/>
          <w:szCs w:val="22"/>
          <w:rFonts w:ascii="Calibri" w:cs="Calibri" w:eastAsia="Calibri" w:hAnsi="Calibri"/>
        </w:rPr>
        <w:t xml:space="preserve">Para auditorias de conformidade global NIS2 e ISO 27001, é recomendada a utilização de auditores externos independentes, que oferecem maior objetividade e conhecimento das melhores práticas do setor</w:t>
      </w:r>
    </w:p>
    <w:p>
      <w:pPr>
        <w:pStyle w:val="ListParagraph"/>
        <w:numPr>
          <w:ilvl w:val="0"/>
          <w:numId w:val="1"/>
        </w:numPr>
        <w:spacing w:after="80"/>
      </w:pPr>
      <w:r>
        <w:rPr>
          <w:color w:val="374151"/>
          <w:sz w:val="22"/>
          <w:szCs w:val="22"/>
          <w:rFonts w:ascii="Calibri" w:cs="Calibri" w:eastAsia="Calibri" w:hAnsi="Calibri"/>
        </w:rPr>
        <w:t xml:space="preserve">O chefe de equipa auditora não pode ser um colaborador da organização auditada (regra aplicável quando a auditoria é realizada por uma equipa mista interna/externa)</w:t>
      </w:r>
    </w:p>
    <w:p>
      <w:pPr>
        <w:pStyle w:val="Heading2"/>
        <w:spacing w:before="320" w:after="160"/>
      </w:pPr>
      <w:r>
        <w:rPr>
          <w:b/>
          <w:bCs/>
          <w:color w:val="1e3a8a"/>
          <w:sz w:val="28"/>
          <w:szCs w:val="28"/>
          <w:rFonts w:ascii="Calibri" w:cs="Calibri" w:eastAsia="Calibri" w:hAnsi="Calibri"/>
        </w:rPr>
        <w:t xml:space="preserve">7.2. Desenvolvimento contínuo dos auditores internos</w:t>
      </w:r>
    </w:p>
    <w:p>
      <w:pPr>
        <w:pStyle w:val="ListParagraph"/>
        <w:numPr>
          <w:ilvl w:val="0"/>
          <w:numId w:val="1"/>
        </w:numPr>
        <w:spacing w:after="80"/>
      </w:pPr>
      <w:r>
        <w:rPr>
          <w:color w:val="374151"/>
          <w:sz w:val="22"/>
          <w:szCs w:val="22"/>
          <w:rFonts w:ascii="Calibri" w:cs="Calibri" w:eastAsia="Calibri" w:hAnsi="Calibri"/>
        </w:rPr>
        <w:t xml:space="preserve">Os auditores internos de cibersegurança devem manter as suas competências atualizadas através de formação contínua, participação em conferências e acompanhamento das evoluções regulatórias</w:t>
      </w:r>
    </w:p>
    <w:p>
      <w:pPr>
        <w:pStyle w:val="ListParagraph"/>
        <w:numPr>
          <w:ilvl w:val="0"/>
          <w:numId w:val="1"/>
        </w:numPr>
        <w:spacing w:after="80"/>
      </w:pPr>
      <w:r>
        <w:rPr>
          <w:color w:val="374151"/>
          <w:sz w:val="22"/>
          <w:szCs w:val="22"/>
          <w:rFonts w:ascii="Calibri" w:cs="Calibri" w:eastAsia="Calibri" w:hAnsi="Calibri"/>
        </w:rPr>
        <w:t xml:space="preserve">É recomendada a obtenção de certificações reconhecidas na área de auditoria de segurança da informação: CISA (Certified Information Systems Auditor), ISO 27001 Lead Auditor, CISM ou equivalente</w:t>
      </w:r>
    </w:p>
    <w:p>
      <w:pPr>
        <w:pStyle w:val="ListParagraph"/>
        <w:numPr>
          <w:ilvl w:val="0"/>
          <w:numId w:val="1"/>
        </w:numPr>
        <w:spacing w:after="80"/>
      </w:pPr>
      <w:r>
        <w:rPr>
          <w:color w:val="374151"/>
          <w:sz w:val="22"/>
          <w:szCs w:val="22"/>
          <w:rFonts w:ascii="Calibri" w:cs="Calibri" w:eastAsia="Calibri" w:hAnsi="Calibri"/>
        </w:rPr>
        <w:t xml:space="preserve">Novos auditores internos devem realizar pelo menos uma auditoria em regime de co-auditoria (acompanhando um auditor experiente) antes de conduzir auditorias de forma autónoma</w:t>
      </w:r>
    </w:p>
    <w:p>
      <w:pPr>
        <w:pStyle w:val="Heading1"/>
        <w:spacing w:before="400" w:after="200"/>
      </w:pPr>
      <w:r>
        <w:rPr>
          <w:b/>
          <w:bCs/>
          <w:color w:val="1e3a8a"/>
          <w:sz w:val="32"/>
          <w:szCs w:val="32"/>
          <w:rFonts w:ascii="Calibri" w:cs="Calibri" w:eastAsia="Calibri" w:hAnsi="Calibri"/>
        </w:rPr>
        <w:t xml:space="preserve">8. Planeamento de cada auditoria individual</w:t>
      </w:r>
    </w:p>
    <w:p>
      <w:pPr>
        <w:spacing w:after="160"/>
      </w:pPr>
      <w:r>
        <w:rPr>
          <w:color w:val="374151"/>
          <w:sz w:val="22"/>
          <w:szCs w:val="22"/>
          <w:rFonts w:ascii="Calibri" w:cs="Calibri" w:eastAsia="Calibri" w:hAnsi="Calibri"/>
        </w:rPr>
        <w:t xml:space="preserve">Cada auditoria individual deve ser planeada com antecedência suficiente para garantir a preparação adequada dos auditores e a disponibilidade das áreas auditadas. O planeamento detalhado de cada auditoria é documentado num plano de auditoria específico, elaborado pelo chefe de equipa auditora.</w:t>
      </w:r>
    </w:p>
    <w:p>
      <w:pPr>
        <w:pStyle w:val="Heading2"/>
        <w:spacing w:before="320" w:after="160"/>
      </w:pPr>
      <w:r>
        <w:rPr>
          <w:b/>
          <w:bCs/>
          <w:color w:val="1e3a8a"/>
          <w:sz w:val="28"/>
          <w:szCs w:val="28"/>
          <w:rFonts w:ascii="Calibri" w:cs="Calibri" w:eastAsia="Calibri" w:hAnsi="Calibri"/>
        </w:rPr>
        <w:t xml:space="preserve">8.1. Conteúdo do plano de auditoria individual</w:t>
      </w:r>
    </w:p>
    <w:p>
      <w:pPr>
        <w:pStyle w:val="ListParagraph"/>
        <w:numPr>
          <w:ilvl w:val="0"/>
          <w:numId w:val="1"/>
        </w:numPr>
        <w:spacing w:after="80"/>
      </w:pPr>
      <w:r>
        <w:rPr>
          <w:color w:val="374151"/>
          <w:sz w:val="22"/>
          <w:szCs w:val="22"/>
          <w:rFonts w:ascii="Calibri" w:cs="Calibri" w:eastAsia="Calibri" w:hAnsi="Calibri"/>
        </w:rPr>
        <w:t xml:space="preserve">Identificação da auditoria: número de referência, título, âmbito, objetivos e critérios de auditoria</w:t>
      </w:r>
    </w:p>
    <w:p>
      <w:pPr>
        <w:pStyle w:val="ListParagraph"/>
        <w:numPr>
          <w:ilvl w:val="0"/>
          <w:numId w:val="1"/>
        </w:numPr>
        <w:spacing w:after="80"/>
      </w:pPr>
      <w:r>
        <w:rPr>
          <w:color w:val="374151"/>
          <w:sz w:val="22"/>
          <w:szCs w:val="22"/>
          <w:rFonts w:ascii="Calibri" w:cs="Calibri" w:eastAsia="Calibri" w:hAnsi="Calibri"/>
        </w:rPr>
        <w:t xml:space="preserve">Equipa auditora: nomes, funções e responsabilidades de cada auditor</w:t>
      </w:r>
    </w:p>
    <w:p>
      <w:pPr>
        <w:pStyle w:val="ListParagraph"/>
        <w:numPr>
          <w:ilvl w:val="0"/>
          <w:numId w:val="1"/>
        </w:numPr>
        <w:spacing w:after="80"/>
      </w:pPr>
      <w:r>
        <w:rPr>
          <w:color w:val="374151"/>
          <w:sz w:val="22"/>
          <w:szCs w:val="22"/>
          <w:rFonts w:ascii="Calibri" w:cs="Calibri" w:eastAsia="Calibri" w:hAnsi="Calibri"/>
        </w:rPr>
        <w:t xml:space="preserve">Calendário detalhado: datas de cada atividade (revisão documental, reunião de abertura, entrevistas, visitas técnicas, reunião de encerramento, relatório)</w:t>
      </w:r>
    </w:p>
    <w:p>
      <w:pPr>
        <w:pStyle w:val="ListParagraph"/>
        <w:numPr>
          <w:ilvl w:val="0"/>
          <w:numId w:val="1"/>
        </w:numPr>
        <w:spacing w:after="80"/>
      </w:pPr>
      <w:r>
        <w:rPr>
          <w:color w:val="374151"/>
          <w:sz w:val="22"/>
          <w:szCs w:val="22"/>
          <w:rFonts w:ascii="Calibri" w:cs="Calibri" w:eastAsia="Calibri" w:hAnsi="Calibri"/>
        </w:rPr>
        <w:t xml:space="preserve">Áreas e processos auditados: identificação específica das áreas organizacionais, sistemas e processos incluídos no âmbito</w:t>
      </w:r>
    </w:p>
    <w:p>
      <w:pPr>
        <w:pStyle w:val="ListParagraph"/>
        <w:numPr>
          <w:ilvl w:val="0"/>
          <w:numId w:val="1"/>
        </w:numPr>
        <w:spacing w:after="80"/>
      </w:pPr>
      <w:r>
        <w:rPr>
          <w:color w:val="374151"/>
          <w:sz w:val="22"/>
          <w:szCs w:val="22"/>
          <w:rFonts w:ascii="Calibri" w:cs="Calibri" w:eastAsia="Calibri" w:hAnsi="Calibri"/>
        </w:rPr>
        <w:t xml:space="preserve">Listas de verificação (checklists): elaboradas com base nos critérios de auditoria aplicáveis; devem cobrir todos os requisitos relevantes</w:t>
      </w:r>
    </w:p>
    <w:p>
      <w:pPr>
        <w:pStyle w:val="ListParagraph"/>
        <w:numPr>
          <w:ilvl w:val="0"/>
          <w:numId w:val="1"/>
        </w:numPr>
        <w:spacing w:after="80"/>
      </w:pPr>
      <w:r>
        <w:rPr>
          <w:color w:val="374151"/>
          <w:sz w:val="22"/>
          <w:szCs w:val="22"/>
          <w:rFonts w:ascii="Calibri" w:cs="Calibri" w:eastAsia="Calibri" w:hAnsi="Calibri"/>
        </w:rPr>
        <w:t xml:space="preserve">Guiões de entrevista: questões estruturadas para cada função a entrevistar</w:t>
      </w:r>
    </w:p>
    <w:p>
      <w:pPr>
        <w:pStyle w:val="ListParagraph"/>
        <w:numPr>
          <w:ilvl w:val="0"/>
          <w:numId w:val="1"/>
        </w:numPr>
        <w:spacing w:after="80"/>
      </w:pPr>
      <w:r>
        <w:rPr>
          <w:color w:val="374151"/>
          <w:sz w:val="22"/>
          <w:szCs w:val="22"/>
          <w:rFonts w:ascii="Calibri" w:cs="Calibri" w:eastAsia="Calibri" w:hAnsi="Calibri"/>
        </w:rPr>
        <w:t xml:space="preserve">Recursos necessários: acesso a sistemas, documentação, locais e pessoas</w:t>
      </w:r>
    </w:p>
    <w:p>
      <w:pPr>
        <w:pStyle w:val="ListParagraph"/>
        <w:numPr>
          <w:ilvl w:val="0"/>
          <w:numId w:val="1"/>
        </w:numPr>
        <w:spacing w:after="80"/>
      </w:pPr>
      <w:r>
        <w:rPr>
          <w:color w:val="374151"/>
          <w:sz w:val="22"/>
          <w:szCs w:val="22"/>
          <w:rFonts w:ascii="Calibri" w:cs="Calibri" w:eastAsia="Calibri" w:hAnsi="Calibri"/>
        </w:rPr>
        <w:t xml:space="preserve">Gestão de riscos do exercício de auditoria: eventuais riscos de perturbação das operações durante a auditoria e medidas de mitigação</w:t>
      </w:r>
    </w:p>
    <w:p>
      <w:pPr>
        <w:pStyle w:val="Heading2"/>
        <w:spacing w:before="320" w:after="160"/>
      </w:pPr>
      <w:r>
        <w:rPr>
          <w:b/>
          <w:bCs/>
          <w:color w:val="1e3a8a"/>
          <w:sz w:val="28"/>
          <w:szCs w:val="28"/>
          <w:rFonts w:ascii="Calibri" w:cs="Calibri" w:eastAsia="Calibri" w:hAnsi="Calibri"/>
        </w:rPr>
        <w:t xml:space="preserve">8.2. Reunião de abertura</w:t>
      </w:r>
    </w:p>
    <w:p>
      <w:pPr>
        <w:spacing w:after="160"/>
      </w:pPr>
      <w:r>
        <w:rPr>
          <w:color w:val="374151"/>
          <w:sz w:val="22"/>
          <w:szCs w:val="22"/>
          <w:rFonts w:ascii="Calibri" w:cs="Calibri" w:eastAsia="Calibri" w:hAnsi="Calibri"/>
        </w:rPr>
        <w:t xml:space="preserve">A reunião de abertura é o momento formal de início da auditoria e deve incluir os seguintes pontos:</w:t>
      </w:r>
    </w:p>
    <w:p>
      <w:pPr>
        <w:pStyle w:val="ListParagraph"/>
        <w:numPr>
          <w:ilvl w:val="0"/>
          <w:numId w:val="1"/>
        </w:numPr>
        <w:spacing w:after="80"/>
      </w:pPr>
      <w:r>
        <w:rPr>
          <w:color w:val="374151"/>
          <w:sz w:val="22"/>
          <w:szCs w:val="22"/>
          <w:rFonts w:ascii="Calibri" w:cs="Calibri" w:eastAsia="Calibri" w:hAnsi="Calibri"/>
        </w:rPr>
        <w:t xml:space="preserve">Apresentação da equipa auditora e dos representantes da área auditada</w:t>
      </w:r>
    </w:p>
    <w:p>
      <w:pPr>
        <w:pStyle w:val="ListParagraph"/>
        <w:numPr>
          <w:ilvl w:val="0"/>
          <w:numId w:val="1"/>
        </w:numPr>
        <w:spacing w:after="80"/>
      </w:pPr>
      <w:r>
        <w:rPr>
          <w:color w:val="374151"/>
          <w:sz w:val="22"/>
          <w:szCs w:val="22"/>
          <w:rFonts w:ascii="Calibri" w:cs="Calibri" w:eastAsia="Calibri" w:hAnsi="Calibri"/>
        </w:rPr>
        <w:t xml:space="preserve">Confirmação do âmbito, objetivos e critérios da auditoria</w:t>
      </w:r>
    </w:p>
    <w:p>
      <w:pPr>
        <w:pStyle w:val="ListParagraph"/>
        <w:numPr>
          <w:ilvl w:val="0"/>
          <w:numId w:val="1"/>
        </w:numPr>
        <w:spacing w:after="80"/>
      </w:pPr>
      <w:r>
        <w:rPr>
          <w:color w:val="374151"/>
          <w:sz w:val="22"/>
          <w:szCs w:val="22"/>
          <w:rFonts w:ascii="Calibri" w:cs="Calibri" w:eastAsia="Calibri" w:hAnsi="Calibri"/>
        </w:rPr>
        <w:t xml:space="preserve">Apresentação do calendário e das atividades planeadas</w:t>
      </w:r>
    </w:p>
    <w:p>
      <w:pPr>
        <w:pStyle w:val="ListParagraph"/>
        <w:numPr>
          <w:ilvl w:val="0"/>
          <w:numId w:val="1"/>
        </w:numPr>
        <w:spacing w:after="80"/>
      </w:pPr>
      <w:r>
        <w:rPr>
          <w:color w:val="374151"/>
          <w:sz w:val="22"/>
          <w:szCs w:val="22"/>
          <w:rFonts w:ascii="Calibri" w:cs="Calibri" w:eastAsia="Calibri" w:hAnsi="Calibri"/>
        </w:rPr>
        <w:t xml:space="preserve">Esclarecimento das regras de confidencialidade e de tratamento das informações recolhidas durante a auditoria</w:t>
      </w:r>
    </w:p>
    <w:p>
      <w:pPr>
        <w:pStyle w:val="ListParagraph"/>
        <w:numPr>
          <w:ilvl w:val="0"/>
          <w:numId w:val="1"/>
        </w:numPr>
        <w:spacing w:after="80"/>
      </w:pPr>
      <w:r>
        <w:rPr>
          <w:color w:val="374151"/>
          <w:sz w:val="22"/>
          <w:szCs w:val="22"/>
          <w:rFonts w:ascii="Calibri" w:cs="Calibri" w:eastAsia="Calibri" w:hAnsi="Calibri"/>
        </w:rPr>
        <w:t xml:space="preserve">Confirmação dos pontos de contacto e do processo de comunicação durante a auditoria</w:t>
      </w:r>
    </w:p>
    <w:p>
      <w:pPr>
        <w:pStyle w:val="ListParagraph"/>
        <w:numPr>
          <w:ilvl w:val="0"/>
          <w:numId w:val="1"/>
        </w:numPr>
        <w:spacing w:after="80"/>
      </w:pPr>
      <w:r>
        <w:rPr>
          <w:color w:val="374151"/>
          <w:sz w:val="22"/>
          <w:szCs w:val="22"/>
          <w:rFonts w:ascii="Calibri" w:cs="Calibri" w:eastAsia="Calibri" w:hAnsi="Calibri"/>
        </w:rPr>
        <w:t xml:space="preserve">Apresentação do processo de reporte e de resposta a constatações</w:t>
      </w:r>
    </w:p>
    <w:p>
      <w:pPr>
        <w:pStyle w:val="Heading1"/>
        <w:spacing w:before="400" w:after="200"/>
      </w:pPr>
      <w:r>
        <w:rPr>
          <w:b/>
          <w:bCs/>
          <w:color w:val="1e3a8a"/>
          <w:sz w:val="32"/>
          <w:szCs w:val="32"/>
          <w:rFonts w:ascii="Calibri" w:cs="Calibri" w:eastAsia="Calibri" w:hAnsi="Calibri"/>
        </w:rPr>
        <w:t xml:space="preserve">9. Execução e recolha de evidências</w:t>
      </w:r>
    </w:p>
    <w:p>
      <w:pPr>
        <w:spacing w:after="160"/>
      </w:pPr>
      <w:r>
        <w:rPr>
          <w:color w:val="374151"/>
          <w:sz w:val="22"/>
          <w:szCs w:val="22"/>
          <w:rFonts w:ascii="Calibri" w:cs="Calibri" w:eastAsia="Calibri" w:hAnsi="Calibri"/>
        </w:rPr>
        <w:t xml:space="preserve">A fase de execução é o coração do processo de auditoria, durante a qual os auditores recolhem e analisam as evidências que suportarão as suas constatações. A recolha de evidências deve ser sistemática, objetiva e suficientemente ampla para suportar conclusões sólidas.</w:t>
      </w:r>
    </w:p>
    <w:p>
      <w:pPr>
        <w:pStyle w:val="Heading2"/>
        <w:spacing w:before="320" w:after="160"/>
      </w:pPr>
      <w:r>
        <w:rPr>
          <w:b/>
          <w:bCs/>
          <w:color w:val="1e3a8a"/>
          <w:sz w:val="28"/>
          <w:szCs w:val="28"/>
          <w:rFonts w:ascii="Calibri" w:cs="Calibri" w:eastAsia="Calibri" w:hAnsi="Calibri"/>
        </w:rPr>
        <w:t xml:space="preserve">9.1. Princípios de recolha de evidências</w:t>
      </w:r>
    </w:p>
    <w:p>
      <w:pPr>
        <w:pStyle w:val="ListParagraph"/>
        <w:numPr>
          <w:ilvl w:val="0"/>
          <w:numId w:val="1"/>
        </w:numPr>
        <w:spacing w:after="80"/>
      </w:pPr>
      <w:r>
        <w:rPr>
          <w:color w:val="374151"/>
          <w:sz w:val="22"/>
          <w:szCs w:val="22"/>
          <w:rFonts w:ascii="Calibri" w:cs="Calibri" w:eastAsia="Calibri" w:hAnsi="Calibri"/>
        </w:rPr>
        <w:t xml:space="preserve">Suficiência — as evidências devem ser em quantidade suficiente para suportar as constatações e conclusões da auditoria</w:t>
      </w:r>
    </w:p>
    <w:p>
      <w:pPr>
        <w:pStyle w:val="ListParagraph"/>
        <w:numPr>
          <w:ilvl w:val="0"/>
          <w:numId w:val="1"/>
        </w:numPr>
        <w:spacing w:after="80"/>
      </w:pPr>
      <w:r>
        <w:rPr>
          <w:color w:val="374151"/>
          <w:sz w:val="22"/>
          <w:szCs w:val="22"/>
          <w:rFonts w:ascii="Calibri" w:cs="Calibri" w:eastAsia="Calibri" w:hAnsi="Calibri"/>
        </w:rPr>
        <w:t xml:space="preserve">Pertinência — as evidências devem ser diretamente relacionadas com os critérios de auditoria a verificar</w:t>
      </w:r>
    </w:p>
    <w:p>
      <w:pPr>
        <w:pStyle w:val="ListParagraph"/>
        <w:numPr>
          <w:ilvl w:val="0"/>
          <w:numId w:val="1"/>
        </w:numPr>
        <w:spacing w:after="80"/>
      </w:pPr>
      <w:r>
        <w:rPr>
          <w:color w:val="374151"/>
          <w:sz w:val="22"/>
          <w:szCs w:val="22"/>
          <w:rFonts w:ascii="Calibri" w:cs="Calibri" w:eastAsia="Calibri" w:hAnsi="Calibri"/>
        </w:rPr>
        <w:t xml:space="preserve">Fiabilidade — as evidências devem ser obtidas de fontes fiáveis (documentos originais, sistemas de registo, observação direta) e não apenas de declarações orais não confirmadas</w:t>
      </w:r>
    </w:p>
    <w:p>
      <w:pPr>
        <w:pStyle w:val="ListParagraph"/>
        <w:numPr>
          <w:ilvl w:val="0"/>
          <w:numId w:val="1"/>
        </w:numPr>
        <w:spacing w:after="80"/>
      </w:pPr>
      <w:r>
        <w:rPr>
          <w:color w:val="374151"/>
          <w:sz w:val="22"/>
          <w:szCs w:val="22"/>
          <w:rFonts w:ascii="Calibri" w:cs="Calibri" w:eastAsia="Calibri" w:hAnsi="Calibri"/>
        </w:rPr>
        <w:t xml:space="preserve">Objetividade — as evidências e as constatações devem ser baseadas em factos verificáveis, não em opiniões ou presunções</w:t>
      </w:r>
    </w:p>
    <w:p>
      <w:pPr>
        <w:pStyle w:val="ListParagraph"/>
        <w:numPr>
          <w:ilvl w:val="0"/>
          <w:numId w:val="1"/>
        </w:numPr>
        <w:spacing w:after="80"/>
      </w:pPr>
      <w:r>
        <w:rPr>
          <w:color w:val="374151"/>
          <w:sz w:val="22"/>
          <w:szCs w:val="22"/>
          <w:rFonts w:ascii="Calibri" w:cs="Calibri" w:eastAsia="Calibri" w:hAnsi="Calibri"/>
        </w:rPr>
        <w:t xml:space="preserve">Rastreabilidade — todas as evidências devem ser registadas de forma a permitir a sua verificação posterior; os registos devem identificar a fonte, a data e o método de obtenção</w:t>
      </w:r>
    </w:p>
    <w:p>
      <w:pPr>
        <w:pStyle w:val="Heading2"/>
        <w:spacing w:before="320" w:after="160"/>
      </w:pPr>
      <w:r>
        <w:rPr>
          <w:b/>
          <w:bCs/>
          <w:color w:val="1e3a8a"/>
          <w:sz w:val="28"/>
          <w:szCs w:val="28"/>
          <w:rFonts w:ascii="Calibri" w:cs="Calibri" w:eastAsia="Calibri" w:hAnsi="Calibri"/>
        </w:rPr>
        <w:t xml:space="preserve">9.2. Registo de constatações</w:t>
      </w:r>
    </w:p>
    <w:p>
      <w:pPr>
        <w:spacing w:after="160"/>
      </w:pPr>
      <w:r>
        <w:rPr>
          <w:color w:val="374151"/>
          <w:sz w:val="22"/>
          <w:szCs w:val="22"/>
          <w:rFonts w:ascii="Calibri" w:cs="Calibri" w:eastAsia="Calibri" w:hAnsi="Calibri"/>
        </w:rPr>
        <w:t xml:space="preserve">Cada constatação deve ser registada com os seguintes elementos:</w:t>
      </w:r>
    </w:p>
    <w:p>
      <w:pPr>
        <w:pStyle w:val="ListParagraph"/>
        <w:numPr>
          <w:ilvl w:val="0"/>
          <w:numId w:val="1"/>
        </w:numPr>
        <w:spacing w:after="80"/>
      </w:pPr>
      <w:r>
        <w:rPr>
          <w:color w:val="374151"/>
          <w:sz w:val="22"/>
          <w:szCs w:val="22"/>
          <w:rFonts w:ascii="Calibri" w:cs="Calibri" w:eastAsia="Calibri" w:hAnsi="Calibri"/>
        </w:rPr>
        <w:t xml:space="preserve">Identificador único da constatação</w:t>
      </w:r>
    </w:p>
    <w:p>
      <w:pPr>
        <w:pStyle w:val="ListParagraph"/>
        <w:numPr>
          <w:ilvl w:val="0"/>
          <w:numId w:val="1"/>
        </w:numPr>
        <w:spacing w:after="80"/>
      </w:pPr>
      <w:r>
        <w:rPr>
          <w:color w:val="374151"/>
          <w:sz w:val="22"/>
          <w:szCs w:val="22"/>
          <w:rFonts w:ascii="Calibri" w:cs="Calibri" w:eastAsia="Calibri" w:hAnsi="Calibri"/>
        </w:rPr>
        <w:t xml:space="preserve">Critério de auditoria — qual o requisito (artigo do DL 125/2025, controlo ISO 27001, artigo do RGPD) que foi ou não cumprido</w:t>
      </w:r>
    </w:p>
    <w:p>
      <w:pPr>
        <w:pStyle w:val="ListParagraph"/>
        <w:numPr>
          <w:ilvl w:val="0"/>
          <w:numId w:val="1"/>
        </w:numPr>
        <w:spacing w:after="80"/>
      </w:pPr>
      <w:r>
        <w:rPr>
          <w:color w:val="374151"/>
          <w:sz w:val="22"/>
          <w:szCs w:val="22"/>
          <w:rFonts w:ascii="Calibri" w:cs="Calibri" w:eastAsia="Calibri" w:hAnsi="Calibri"/>
        </w:rPr>
        <w:t xml:space="preserve">Constatação — descrição factual e objetiva do que foi observado</w:t>
      </w:r>
    </w:p>
    <w:p>
      <w:pPr>
        <w:pStyle w:val="ListParagraph"/>
        <w:numPr>
          <w:ilvl w:val="0"/>
          <w:numId w:val="1"/>
        </w:numPr>
        <w:spacing w:after="80"/>
      </w:pPr>
      <w:r>
        <w:rPr>
          <w:color w:val="374151"/>
          <w:sz w:val="22"/>
          <w:szCs w:val="22"/>
          <w:rFonts w:ascii="Calibri" w:cs="Calibri" w:eastAsia="Calibri" w:hAnsi="Calibri"/>
        </w:rPr>
        <w:t xml:space="preserve">Evidências — referência às evidências que suportam a constatação (documentos, registos, screenshots, observações)</w:t>
      </w:r>
    </w:p>
    <w:p>
      <w:pPr>
        <w:pStyle w:val="ListParagraph"/>
        <w:numPr>
          <w:ilvl w:val="0"/>
          <w:numId w:val="1"/>
        </w:numPr>
        <w:spacing w:after="80"/>
      </w:pPr>
      <w:r>
        <w:rPr>
          <w:color w:val="374151"/>
          <w:sz w:val="22"/>
          <w:szCs w:val="22"/>
          <w:rFonts w:ascii="Calibri" w:cs="Calibri" w:eastAsia="Calibri" w:hAnsi="Calibri"/>
        </w:rPr>
        <w:t xml:space="preserve">Classificação — não conformidade maior / não conformidade menor / observação / constatação positiva</w:t>
      </w:r>
    </w:p>
    <w:p>
      <w:pPr>
        <w:pStyle w:val="ListParagraph"/>
        <w:numPr>
          <w:ilvl w:val="0"/>
          <w:numId w:val="1"/>
        </w:numPr>
        <w:spacing w:after="80"/>
      </w:pPr>
      <w:r>
        <w:rPr>
          <w:color w:val="374151"/>
          <w:sz w:val="22"/>
          <w:szCs w:val="22"/>
          <w:rFonts w:ascii="Calibri" w:cs="Calibri" w:eastAsia="Calibri" w:hAnsi="Calibri"/>
        </w:rPr>
        <w:t xml:space="preserve">Análise de causa raiz — para não conformidades, análise das causas subjacentes</w:t>
      </w:r>
    </w:p>
    <w:p>
      <w:pPr>
        <w:pStyle w:val="ListParagraph"/>
        <w:numPr>
          <w:ilvl w:val="0"/>
          <w:numId w:val="1"/>
        </w:numPr>
        <w:spacing w:after="80"/>
      </w:pPr>
      <w:r>
        <w:rPr>
          <w:color w:val="374151"/>
          <w:sz w:val="22"/>
          <w:szCs w:val="22"/>
          <w:rFonts w:ascii="Calibri" w:cs="Calibri" w:eastAsia="Calibri" w:hAnsi="Calibri"/>
        </w:rPr>
        <w:t xml:space="preserve">Risco associado — avaliação do risco potencial resultante da não conformidade identificada</w:t>
      </w:r>
    </w:p>
    <w:p>
      <w:pPr>
        <w:pStyle w:val="Heading1"/>
        <w:spacing w:before="400" w:after="200"/>
      </w:pPr>
      <w:r>
        <w:rPr>
          <w:b/>
          <w:bCs/>
          <w:color w:val="1e3a8a"/>
          <w:sz w:val="32"/>
          <w:szCs w:val="32"/>
          <w:rFonts w:ascii="Calibri" w:cs="Calibri" w:eastAsia="Calibri" w:hAnsi="Calibri"/>
        </w:rPr>
        <w:t xml:space="preserve">10. Classificação de constatações</w:t>
      </w:r>
    </w:p>
    <w:p>
      <w:pPr>
        <w:spacing w:after="160"/>
      </w:pPr>
      <w:r>
        <w:rPr>
          <w:color w:val="374151"/>
          <w:sz w:val="22"/>
          <w:szCs w:val="22"/>
          <w:rFonts w:ascii="Calibri" w:cs="Calibri" w:eastAsia="Calibri" w:hAnsi="Calibri"/>
        </w:rPr>
        <w:t xml:space="preserve">A classificação correta das constatações é essencial para priorizar as ações corretivas e comunicar adequadamente os resultados à gestão. A organização adota a seguinte escala de classificação:</w:t>
      </w:r>
    </w:p>
    <w:p>
      <w:pPr>
        <w:pStyle w:val="ListParagraph"/>
        <w:numPr>
          <w:ilvl w:val="0"/>
          <w:numId w:val="1"/>
        </w:numPr>
        <w:spacing w:after="80"/>
      </w:pPr>
      <w:r>
        <w:rPr>
          <w:color w:val="374151"/>
          <w:sz w:val="22"/>
          <w:szCs w:val="22"/>
          <w:rFonts w:ascii="Calibri" w:cs="Calibri" w:eastAsia="Calibri" w:hAnsi="Calibri"/>
        </w:rPr>
        <w:t xml:space="preserve">Não conformidade maior — ausência ou falha sistemática de um controlo obrigatório que cria um risco significativo para a organização ou que representa violação direta de uma obrigação legal (DL 125/2025, RGPD); exige ação corretiva imediata e verificação de efetividade no prazo máximo de 90 dias; deve ser reportada à gestão de topo</w:t>
      </w:r>
    </w:p>
    <w:p>
      <w:pPr>
        <w:pStyle w:val="ListParagraph"/>
        <w:numPr>
          <w:ilvl w:val="0"/>
          <w:numId w:val="1"/>
        </w:numPr>
        <w:spacing w:after="80"/>
      </w:pPr>
      <w:r>
        <w:rPr>
          <w:color w:val="374151"/>
          <w:sz w:val="22"/>
          <w:szCs w:val="22"/>
          <w:rFonts w:ascii="Calibri" w:cs="Calibri" w:eastAsia="Calibri" w:hAnsi="Calibri"/>
        </w:rPr>
        <w:t xml:space="preserve">Não conformidade menor — falha pontual ou parcial de um controlo, sem caráter sistemático, ou incumprimento de um requisito não crítico; o controlo existe mas não está a ser implementado consistentemente ou de acordo com os requisitos; exige ação corretiva no prazo máximo de 180 dias</w:t>
      </w:r>
    </w:p>
    <w:p>
      <w:pPr>
        <w:pStyle w:val="ListParagraph"/>
        <w:numPr>
          <w:ilvl w:val="0"/>
          <w:numId w:val="1"/>
        </w:numPr>
        <w:spacing w:after="80"/>
      </w:pPr>
      <w:r>
        <w:rPr>
          <w:color w:val="374151"/>
          <w:sz w:val="22"/>
          <w:szCs w:val="22"/>
          <w:rFonts w:ascii="Calibri" w:cs="Calibri" w:eastAsia="Calibri" w:hAnsi="Calibri"/>
        </w:rPr>
        <w:t xml:space="preserve">Observação / oportunidade de melhoria — situação em que os requisitos são cumpridos mas existe oportunidade de melhoria da eficiência ou efetividade; não requer ação corretiva formal mas deve ser considerada na revisão do SGSI</w:t>
      </w:r>
    </w:p>
    <w:p>
      <w:pPr>
        <w:pStyle w:val="ListParagraph"/>
        <w:numPr>
          <w:ilvl w:val="0"/>
          <w:numId w:val="1"/>
        </w:numPr>
        <w:spacing w:after="80"/>
      </w:pPr>
      <w:r>
        <w:rPr>
          <w:color w:val="374151"/>
          <w:sz w:val="22"/>
          <w:szCs w:val="22"/>
          <w:rFonts w:ascii="Calibri" w:cs="Calibri" w:eastAsia="Calibri" w:hAnsi="Calibri"/>
        </w:rPr>
        <w:t xml:space="preserve">Constatação positiva — boa prática ou controlo implementado de forma exemplar que merece reconhecimento e pode ser replicado noutras áreas da organização</w:t>
      </w:r>
    </w:p>
    <w:p>
      <w:pPr>
        <w:shd w:color="dbeafe" w:val="solid"/>
        <w:spacing w:before="160" w:after="160"/>
        <w:ind w:left="360" w:right="360"/>
      </w:pPr>
      <w:r>
        <w:rPr>
          <w:i/>
          <w:iCs/>
          <w:color w:val="1e3a8a"/>
          <w:sz w:val="22"/>
          <w:szCs w:val="22"/>
          <w:rFonts w:ascii="Calibri" w:cs="Calibri" w:eastAsia="Calibri" w:hAnsi="Calibri"/>
        </w:rPr>
        <w:t xml:space="preserve">Art. 27.º do DL 125/2025 — a identificação de não conformidades com as medidas obrigatórias de gestão de riscos de cibersegurança deve resultar em ação corretiva imediata. O Art. 52.º estabelece coimas até 10 000 000 EUR ou 2% do volume de negócios anual global (entidades essenciais) pelo incumprimento das obrigações de gestão de riscos.</w:t>
      </w:r>
    </w:p>
    <w:p>
      <w:pPr>
        <w:pStyle w:val="Heading1"/>
        <w:spacing w:before="400" w:after="200"/>
      </w:pPr>
      <w:r>
        <w:rPr>
          <w:b/>
          <w:bCs/>
          <w:color w:val="1e3a8a"/>
          <w:sz w:val="32"/>
          <w:szCs w:val="32"/>
          <w:rFonts w:ascii="Calibri" w:cs="Calibri" w:eastAsia="Calibri" w:hAnsi="Calibri"/>
        </w:rPr>
        <w:t xml:space="preserve">11. Relatório de auditoria</w:t>
      </w:r>
    </w:p>
    <w:p>
      <w:pPr>
        <w:spacing w:after="160"/>
      </w:pPr>
      <w:r>
        <w:rPr>
          <w:color w:val="374151"/>
          <w:sz w:val="22"/>
          <w:szCs w:val="22"/>
          <w:rFonts w:ascii="Calibri" w:cs="Calibri" w:eastAsia="Calibri" w:hAnsi="Calibri"/>
        </w:rPr>
        <w:t xml:space="preserve">O relatório de auditoria é o produto principal do processo de auditoria e deve comunicar de forma clara, objetiva e completa os resultados da auditoria à gestão da área auditada e à gestão de topo. A estrutura e os requisitos do relatório de auditoria estão definidos no documento "Relatório de auditoria NIS2" deste conjunto de templates.</w:t>
      </w:r>
    </w:p>
    <w:p>
      <w:pPr>
        <w:pStyle w:val="Heading2"/>
        <w:spacing w:before="320" w:after="160"/>
      </w:pPr>
      <w:r>
        <w:rPr>
          <w:b/>
          <w:bCs/>
          <w:color w:val="1e3a8a"/>
          <w:sz w:val="28"/>
          <w:szCs w:val="28"/>
          <w:rFonts w:ascii="Calibri" w:cs="Calibri" w:eastAsia="Calibri" w:hAnsi="Calibri"/>
        </w:rPr>
        <w:t xml:space="preserve">11.1. Processo de elaboração e aprovação</w:t>
      </w:r>
    </w:p>
    <w:p>
      <w:pPr>
        <w:pStyle w:val="ListParagraph"/>
        <w:numPr>
          <w:ilvl w:val="0"/>
          <w:numId w:val="1"/>
        </w:numPr>
        <w:spacing w:after="80"/>
      </w:pPr>
      <w:r>
        <w:rPr>
          <w:color w:val="374151"/>
          <w:sz w:val="22"/>
          <w:szCs w:val="22"/>
          <w:rFonts w:ascii="Calibri" w:cs="Calibri" w:eastAsia="Calibri" w:hAnsi="Calibri"/>
        </w:rPr>
        <w:t xml:space="preserve">Reunião de encerramento — antes da elaboração do relatório final, é realizada uma reunião de encerramento onde o chefe de equipa auditora apresenta as constatações preliminares à área auditada; o objetivo é validar a exatidão factual das constatações (não debater a sua classificação)</w:t>
      </w:r>
    </w:p>
    <w:p>
      <w:pPr>
        <w:pStyle w:val="ListParagraph"/>
        <w:numPr>
          <w:ilvl w:val="0"/>
          <w:numId w:val="1"/>
        </w:numPr>
        <w:spacing w:after="80"/>
      </w:pPr>
      <w:r>
        <w:rPr>
          <w:color w:val="374151"/>
          <w:sz w:val="22"/>
          <w:szCs w:val="22"/>
          <w:rFonts w:ascii="Calibri" w:cs="Calibri" w:eastAsia="Calibri" w:hAnsi="Calibri"/>
        </w:rPr>
        <w:t xml:space="preserve">Direito de resposta — a área auditada tem um prazo de 5 dias úteis após a reunião de encerramento para apresentar por escrito qualquer objeção factual às constatações; objeções de classificação são tratadas no processo de follow-up</w:t>
      </w:r>
    </w:p>
    <w:p>
      <w:pPr>
        <w:pStyle w:val="ListParagraph"/>
        <w:numPr>
          <w:ilvl w:val="0"/>
          <w:numId w:val="1"/>
        </w:numPr>
        <w:spacing w:after="80"/>
      </w:pPr>
      <w:r>
        <w:rPr>
          <w:color w:val="374151"/>
          <w:sz w:val="22"/>
          <w:szCs w:val="22"/>
          <w:rFonts w:ascii="Calibri" w:cs="Calibri" w:eastAsia="Calibri" w:hAnsi="Calibri"/>
        </w:rPr>
        <w:t xml:space="preserve">Relatório preliminar — o chefe de equipa auditora elabora o relatório preliminar, incorporando eventuais correções factuais; o relatório é submetido ao CISO para revisão</w:t>
      </w:r>
    </w:p>
    <w:p>
      <w:pPr>
        <w:pStyle w:val="ListParagraph"/>
        <w:numPr>
          <w:ilvl w:val="0"/>
          <w:numId w:val="1"/>
        </w:numPr>
        <w:spacing w:after="80"/>
      </w:pPr>
      <w:r>
        <w:rPr>
          <w:color w:val="374151"/>
          <w:sz w:val="22"/>
          <w:szCs w:val="22"/>
          <w:rFonts w:ascii="Calibri" w:cs="Calibri" w:eastAsia="Calibri" w:hAnsi="Calibri"/>
        </w:rPr>
        <w:t xml:space="preserve">Relatório final — após revisão pelo CISO, o relatório final é distribuído: ao responsável da área auditada, ao CISO, ao Diretor de TI e à gestão de topo (para não conformidades maiores ou resultados globais)</w:t>
      </w:r>
    </w:p>
    <w:p>
      <w:pPr>
        <w:pStyle w:val="ListParagraph"/>
        <w:numPr>
          <w:ilvl w:val="0"/>
          <w:numId w:val="1"/>
        </w:numPr>
        <w:spacing w:after="80"/>
      </w:pPr>
      <w:r>
        <w:rPr>
          <w:color w:val="374151"/>
          <w:sz w:val="22"/>
          <w:szCs w:val="22"/>
          <w:rFonts w:ascii="Calibri" w:cs="Calibri" w:eastAsia="Calibri" w:hAnsi="Calibri"/>
        </w:rPr>
        <w:t xml:space="preserve">Prazo — o relatório final deve ser emitido no prazo máximo de 10 dias úteis após a conclusão da fase de execução da auditoria</w:t>
      </w:r>
    </w:p>
    <w:p>
      <w:pPr>
        <w:pStyle w:val="Heading1"/>
        <w:spacing w:before="400" w:after="200"/>
      </w:pPr>
      <w:r>
        <w:rPr>
          <w:b/>
          <w:bCs/>
          <w:color w:val="1e3a8a"/>
          <w:sz w:val="32"/>
          <w:szCs w:val="32"/>
          <w:rFonts w:ascii="Calibri" w:cs="Calibri" w:eastAsia="Calibri" w:hAnsi="Calibri"/>
        </w:rPr>
        <w:t xml:space="preserve">12. Follow-up e encerramento de não conformidades</w:t>
      </w:r>
    </w:p>
    <w:p>
      <w:pPr>
        <w:spacing w:after="160"/>
      </w:pPr>
      <w:r>
        <w:rPr>
          <w:color w:val="374151"/>
          <w:sz w:val="22"/>
          <w:szCs w:val="22"/>
          <w:rFonts w:ascii="Calibri" w:cs="Calibri" w:eastAsia="Calibri" w:hAnsi="Calibri"/>
        </w:rPr>
        <w:t xml:space="preserve">O processo de follow-up garante que as não conformidades identificadas nas auditorias são efetivamente corrigidas e que as ações corretivas implementadas são eficazes. Sem follow-up rigoroso, a auditoria perde o seu valor como instrumento de melhoria.</w:t>
      </w:r>
    </w:p>
    <w:p>
      <w:pPr>
        <w:pStyle w:val="Heading2"/>
        <w:spacing w:before="320" w:after="160"/>
      </w:pPr>
      <w:r>
        <w:rPr>
          <w:b/>
          <w:bCs/>
          <w:color w:val="1e3a8a"/>
          <w:sz w:val="28"/>
          <w:szCs w:val="28"/>
          <w:rFonts w:ascii="Calibri" w:cs="Calibri" w:eastAsia="Calibri" w:hAnsi="Calibri"/>
        </w:rPr>
        <w:t xml:space="preserve">12.1. Plano de ação corretiva</w:t>
      </w:r>
    </w:p>
    <w:p>
      <w:pPr>
        <w:spacing w:after="160"/>
      </w:pPr>
      <w:r>
        <w:rPr>
          <w:color w:val="374151"/>
          <w:sz w:val="22"/>
          <w:szCs w:val="22"/>
          <w:rFonts w:ascii="Calibri" w:cs="Calibri" w:eastAsia="Calibri" w:hAnsi="Calibri"/>
        </w:rPr>
        <w:t xml:space="preserve">Para cada não conformidade identificada, a área auditada deve elaborar um plano de ação corretiva no prazo de 15 dias úteis após a receção do relatório final, que inclua:</w:t>
      </w:r>
    </w:p>
    <w:p>
      <w:pPr>
        <w:pStyle w:val="ListParagraph"/>
        <w:numPr>
          <w:ilvl w:val="0"/>
          <w:numId w:val="1"/>
        </w:numPr>
        <w:spacing w:after="80"/>
      </w:pPr>
      <w:r>
        <w:rPr>
          <w:color w:val="374151"/>
          <w:sz w:val="22"/>
          <w:szCs w:val="22"/>
          <w:rFonts w:ascii="Calibri" w:cs="Calibri" w:eastAsia="Calibri" w:hAnsi="Calibri"/>
        </w:rPr>
        <w:t xml:space="preserve">Análise de causa raiz — identificação da causa ou causas que originaram a não conformidade</w:t>
      </w:r>
    </w:p>
    <w:p>
      <w:pPr>
        <w:pStyle w:val="ListParagraph"/>
        <w:numPr>
          <w:ilvl w:val="0"/>
          <w:numId w:val="1"/>
        </w:numPr>
        <w:spacing w:after="80"/>
      </w:pPr>
      <w:r>
        <w:rPr>
          <w:color w:val="374151"/>
          <w:sz w:val="22"/>
          <w:szCs w:val="22"/>
          <w:rFonts w:ascii="Calibri" w:cs="Calibri" w:eastAsia="Calibri" w:hAnsi="Calibri"/>
        </w:rPr>
        <w:t xml:space="preserve">Ação(ões) corretiva(s) — descrição das ações concretas a implementar para eliminar a não conformidade</w:t>
      </w:r>
    </w:p>
    <w:p>
      <w:pPr>
        <w:pStyle w:val="ListParagraph"/>
        <w:numPr>
          <w:ilvl w:val="0"/>
          <w:numId w:val="1"/>
        </w:numPr>
        <w:spacing w:after="80"/>
      </w:pPr>
      <w:r>
        <w:rPr>
          <w:color w:val="374151"/>
          <w:sz w:val="22"/>
          <w:szCs w:val="22"/>
          <w:rFonts w:ascii="Calibri" w:cs="Calibri" w:eastAsia="Calibri" w:hAnsi="Calibri"/>
        </w:rPr>
        <w:t xml:space="preserve">Responsável — nome e função do responsável pela implementação de cada ação</w:t>
      </w:r>
    </w:p>
    <w:p>
      <w:pPr>
        <w:pStyle w:val="ListParagraph"/>
        <w:numPr>
          <w:ilvl w:val="0"/>
          <w:numId w:val="1"/>
        </w:numPr>
        <w:spacing w:after="80"/>
      </w:pPr>
      <w:r>
        <w:rPr>
          <w:color w:val="374151"/>
          <w:sz w:val="22"/>
          <w:szCs w:val="22"/>
          <w:rFonts w:ascii="Calibri" w:cs="Calibri" w:eastAsia="Calibri" w:hAnsi="Calibri"/>
        </w:rPr>
        <w:t xml:space="preserve">Prazo de implementação — data limite de implementação, consistente com a classificação da não conformidade</w:t>
      </w:r>
    </w:p>
    <w:p>
      <w:pPr>
        <w:pStyle w:val="ListParagraph"/>
        <w:numPr>
          <w:ilvl w:val="0"/>
          <w:numId w:val="1"/>
        </w:numPr>
        <w:spacing w:after="80"/>
      </w:pPr>
      <w:r>
        <w:rPr>
          <w:color w:val="374151"/>
          <w:sz w:val="22"/>
          <w:szCs w:val="22"/>
          <w:rFonts w:ascii="Calibri" w:cs="Calibri" w:eastAsia="Calibri" w:hAnsi="Calibri"/>
        </w:rPr>
        <w:t xml:space="preserve">Critérios de verificação — como será verificado que a ação foi implementada e que a não conformidade foi eliminada</w:t>
      </w:r>
    </w:p>
    <w:p>
      <w:pPr>
        <w:pStyle w:val="Heading2"/>
        <w:spacing w:before="320" w:after="160"/>
      </w:pPr>
      <w:r>
        <w:rPr>
          <w:b/>
          <w:bCs/>
          <w:color w:val="1e3a8a"/>
          <w:sz w:val="28"/>
          <w:szCs w:val="28"/>
          <w:rFonts w:ascii="Calibri" w:cs="Calibri" w:eastAsia="Calibri" w:hAnsi="Calibri"/>
        </w:rPr>
        <w:t xml:space="preserve">12.2. Verificação e encerramento</w:t>
      </w:r>
    </w:p>
    <w:p>
      <w:pPr>
        <w:pStyle w:val="ListParagraph"/>
        <w:numPr>
          <w:ilvl w:val="0"/>
          <w:numId w:val="1"/>
        </w:numPr>
        <w:spacing w:after="80"/>
      </w:pPr>
      <w:r>
        <w:rPr>
          <w:color w:val="374151"/>
          <w:sz w:val="22"/>
          <w:szCs w:val="22"/>
          <w:rFonts w:ascii="Calibri" w:cs="Calibri" w:eastAsia="Calibri" w:hAnsi="Calibri"/>
        </w:rPr>
        <w:t xml:space="preserve">O auditor responsável pelo follow-up verifica a implementação das ações corretivas no prazo definido no plano de ação</w:t>
      </w:r>
    </w:p>
    <w:p>
      <w:pPr>
        <w:pStyle w:val="ListParagraph"/>
        <w:numPr>
          <w:ilvl w:val="0"/>
          <w:numId w:val="1"/>
        </w:numPr>
        <w:spacing w:after="80"/>
      </w:pPr>
      <w:r>
        <w:rPr>
          <w:color w:val="374151"/>
          <w:sz w:val="22"/>
          <w:szCs w:val="22"/>
          <w:rFonts w:ascii="Calibri" w:cs="Calibri" w:eastAsia="Calibri" w:hAnsi="Calibri"/>
        </w:rPr>
        <w:t xml:space="preserve">A verificação pode ser feita por revisão documental (evidências submetidas pela área) ou por mini-auditoria de verificação no local</w:t>
      </w:r>
    </w:p>
    <w:p>
      <w:pPr>
        <w:pStyle w:val="ListParagraph"/>
        <w:numPr>
          <w:ilvl w:val="0"/>
          <w:numId w:val="1"/>
        </w:numPr>
        <w:spacing w:after="80"/>
      </w:pPr>
      <w:r>
        <w:rPr>
          <w:color w:val="374151"/>
          <w:sz w:val="22"/>
          <w:szCs w:val="22"/>
          <w:rFonts w:ascii="Calibri" w:cs="Calibri" w:eastAsia="Calibri" w:hAnsi="Calibri"/>
        </w:rPr>
        <w:t xml:space="preserve">Se a ação corretiva foi implementada e é eficaz, a não conformidade é formalmente encerrada com registo da data de encerramento e das evidências verificadas</w:t>
      </w:r>
    </w:p>
    <w:p>
      <w:pPr>
        <w:pStyle w:val="ListParagraph"/>
        <w:numPr>
          <w:ilvl w:val="0"/>
          <w:numId w:val="1"/>
        </w:numPr>
        <w:spacing w:after="80"/>
      </w:pPr>
      <w:r>
        <w:rPr>
          <w:color w:val="374151"/>
          <w:sz w:val="22"/>
          <w:szCs w:val="22"/>
          <w:rFonts w:ascii="Calibri" w:cs="Calibri" w:eastAsia="Calibri" w:hAnsi="Calibri"/>
        </w:rPr>
        <w:t xml:space="preserve">Se a ação não foi implementada no prazo ou não é eficaz, a não conformidade é escalada ao CISO para decisão; pode implicar a abertura de uma nova auditoria de seguimento</w:t>
      </w:r>
    </w:p>
    <w:p>
      <w:pPr>
        <w:pStyle w:val="ListParagraph"/>
        <w:numPr>
          <w:ilvl w:val="0"/>
          <w:numId w:val="1"/>
        </w:numPr>
        <w:spacing w:after="80"/>
      </w:pPr>
      <w:r>
        <w:rPr>
          <w:color w:val="374151"/>
          <w:sz w:val="22"/>
          <w:szCs w:val="22"/>
          <w:rFonts w:ascii="Calibri" w:cs="Calibri" w:eastAsia="Calibri" w:hAnsi="Calibri"/>
        </w:rPr>
        <w:t xml:space="preserve">O estado de todas as não conformidades abertas é reportado trimestralmente ao CISO e semestralmente à gestão de topo</w:t>
      </w:r>
    </w:p>
    <w:p>
      <w:r>
        <w:br w:type="page"/>
      </w:r>
    </w:p>
    <w:p>
      <w:pPr>
        <w:pStyle w:val="Heading1"/>
        <w:spacing w:before="400" w:after="200"/>
      </w:pPr>
      <w:r>
        <w:rPr>
          <w:b/>
          <w:bCs/>
          <w:color w:val="1e3a8a"/>
          <w:sz w:val="32"/>
          <w:szCs w:val="32"/>
          <w:rFonts w:ascii="Calibri" w:cs="Calibri" w:eastAsia="Calibri" w:hAnsi="Calibri"/>
        </w:rPr>
        <w:t xml:space="preserve">13. Responsabilidades</w:t>
      </w:r>
    </w:p>
    <w:p>
      <w:pPr>
        <w:spacing w:after="160"/>
      </w:pPr>
      <w:r>
        <w:rPr>
          <w:color w:val="374151"/>
          <w:sz w:val="22"/>
          <w:szCs w:val="22"/>
          <w:rFonts w:ascii="Calibri" w:cs="Calibri" w:eastAsia="Calibri" w:hAnsi="Calibri"/>
        </w:rPr>
        <w:t xml:space="preserve">O programa de auditoria interna de cibersegurança envolve as seguintes responsabilidades:</w:t>
      </w:r>
    </w:p>
    <w:p>
      <w:pPr>
        <w:pStyle w:val="ListParagraph"/>
        <w:numPr>
          <w:ilvl w:val="0"/>
          <w:numId w:val="1"/>
        </w:numPr>
        <w:spacing w:after="80"/>
      </w:pPr>
      <w:r>
        <w:rPr>
          <w:color w:val="374151"/>
          <w:sz w:val="22"/>
          <w:szCs w:val="22"/>
          <w:rFonts w:ascii="Calibri" w:cs="Calibri" w:eastAsia="Calibri" w:hAnsi="Calibri"/>
        </w:rPr>
        <w:t xml:space="preserve">CISO — responsável pelo programa global de auditoria interna; aprova o plano anual de auditorias; aprova os relatórios de auditoria; supervisiona o follow-up de não conformidades; reporta à gestão de topo sobre o estado de conformidade</w:t>
      </w:r>
    </w:p>
    <w:p>
      <w:pPr>
        <w:pStyle w:val="ListParagraph"/>
        <w:numPr>
          <w:ilvl w:val="0"/>
          <w:numId w:val="1"/>
        </w:numPr>
        <w:spacing w:after="80"/>
      </w:pPr>
      <w:r>
        <w:rPr>
          <w:color w:val="374151"/>
          <w:sz w:val="22"/>
          <w:szCs w:val="22"/>
          <w:rFonts w:ascii="Calibri" w:cs="Calibri" w:eastAsia="Calibri" w:hAnsi="Calibri"/>
        </w:rPr>
        <w:t xml:space="preserve">Chefe de equipa auditora — responsável pelo planeamento detalhado de cada auditoria; conduz a reunião de abertura e de encerramento; elabora o relatório de auditoria; coordena o processo de follow-up</w:t>
      </w:r>
    </w:p>
    <w:p>
      <w:pPr>
        <w:pStyle w:val="ListParagraph"/>
        <w:numPr>
          <w:ilvl w:val="0"/>
          <w:numId w:val="1"/>
        </w:numPr>
        <w:spacing w:after="80"/>
      </w:pPr>
      <w:r>
        <w:rPr>
          <w:color w:val="374151"/>
          <w:sz w:val="22"/>
          <w:szCs w:val="22"/>
          <w:rFonts w:ascii="Calibri" w:cs="Calibri" w:eastAsia="Calibri" w:hAnsi="Calibri"/>
        </w:rPr>
        <w:t xml:space="preserve">Auditores internos — recolhem evidências, realizam entrevistas e testes técnicos; registam constatações com objetividade e rigor; mantêm a confidencialidade das informações recolhidas</w:t>
      </w:r>
    </w:p>
    <w:p>
      <w:pPr>
        <w:pStyle w:val="ListParagraph"/>
        <w:numPr>
          <w:ilvl w:val="0"/>
          <w:numId w:val="1"/>
        </w:numPr>
        <w:spacing w:after="80"/>
      </w:pPr>
      <w:r>
        <w:rPr>
          <w:color w:val="374151"/>
          <w:sz w:val="22"/>
          <w:szCs w:val="22"/>
          <w:rFonts w:ascii="Calibri" w:cs="Calibri" w:eastAsia="Calibri" w:hAnsi="Calibri"/>
        </w:rPr>
        <w:t xml:space="preserve">Responsáveis das áreas auditadas — disponibilizam a informação, documentação e acesso aos sistemas solicitados pelos auditores; participam nas reuniões de abertura e encerramento; elaboram e implementam os planos de ação corretiva; respondem atempadamente às solicitações dos auditores</w:t>
      </w:r>
    </w:p>
    <w:p>
      <w:pPr>
        <w:pStyle w:val="ListParagraph"/>
        <w:numPr>
          <w:ilvl w:val="0"/>
          <w:numId w:val="1"/>
        </w:numPr>
        <w:spacing w:after="80"/>
      </w:pPr>
      <w:r>
        <w:rPr>
          <w:color w:val="374151"/>
          <w:sz w:val="22"/>
          <w:szCs w:val="22"/>
          <w:rFonts w:ascii="Calibri" w:cs="Calibri" w:eastAsia="Calibri" w:hAnsi="Calibri"/>
        </w:rPr>
        <w:t xml:space="preserve">Gestão de topo — aprova o programa anual de auditorias; toma conhecimento dos resultados das auditorias e das não conformidades maiores; garante os recursos necessários para a implementação das ações corretivas; apoia a cultura de melhoria contínua promovida pelo programa de auditoria</w:t>
      </w:r>
    </w:p>
    <w:p>
      <w:pPr>
        <w:pStyle w:val="ListParagraph"/>
        <w:numPr>
          <w:ilvl w:val="0"/>
          <w:numId w:val="1"/>
        </w:numPr>
        <w:spacing w:after="80"/>
      </w:pPr>
      <w:r>
        <w:rPr>
          <w:color w:val="374151"/>
          <w:sz w:val="22"/>
          <w:szCs w:val="22"/>
          <w:rFonts w:ascii="Calibri" w:cs="Calibri" w:eastAsia="Calibri" w:hAnsi="Calibri"/>
        </w:rPr>
        <w:t xml:space="preserve">DPO (Encarregado de Proteção de Dados) — participa nas auditorias que envolvam proteção de dados; valida as constatações relacionadas com o RGPD; supervisiona as ações corretivas em matéria de proteção de dados</w:t>
      </w:r>
    </w:p>
    <w:p>
      <w:pPr>
        <w:shd w:color="dbeafe" w:val="solid"/>
        <w:spacing w:before="160" w:after="160"/>
        <w:ind w:left="360" w:right="360"/>
      </w:pPr>
      <w:r>
        <w:rPr>
          <w:i/>
          <w:iCs/>
          <w:color w:val="1e3a8a"/>
          <w:sz w:val="22"/>
          <w:szCs w:val="22"/>
          <w:rFonts w:ascii="Calibri" w:cs="Calibri" w:eastAsia="Calibri" w:hAnsi="Calibri"/>
        </w:rPr>
        <w:t xml:space="preserve">Art. 25.º e Art. 27.º do DL 125/2025 — a realização de auditorias internas regulares, com documentação de resultados e implementação de ações corretivas, é essencial para demonstrar o cumprimento contínuo das obrigações de gestão de riscos de cibersegurança. As entidades essenciais estão sujeitas a auditorias por parte do CNCS, pelo que a existência de um programa de auditoria interna robusto constitui também uma preparação adequada para a supervisão externa.</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Plano de auditoria interna de cibersegurança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2026-03-18T13:34:02.495Z</dcterms:created>
  <dcterms:modified xsi:type="dcterms:W3CDTF">2026-03-18T13:34:02.495Z</dcterms:modified>
</cp:coreProperties>
</file>

<file path=docProps/custom.xml><?xml version="1.0" encoding="utf-8"?>
<Properties xmlns="http://schemas.openxmlformats.org/officeDocument/2006/custom-properties" xmlns:vt="http://schemas.openxmlformats.org/officeDocument/2006/docPropsVTypes"/>
</file>