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p>
    <w:p>
      <w:pPr>
        <w:jc w:val="center"/>
      </w:pPr>
      <w:r>
        <w:rPr>
          <w:color w:val="9CA3AF"/>
          <w:sz w:val="22"/>
        </w:rPr>
        <w:t>[Nome da organização]</w:t>
      </w:r>
    </w:p>
    <w:p>
      <w:pPr>
        <w:jc w:val="center"/>
      </w:pPr>
      <w:r>
        <w:rPr>
          <w:b/>
          <w:color w:val="1E3A8A"/>
          <w:sz w:val="28"/>
        </w:rPr>
        <w:t>Plano de comunicação de crises de cibersegurança</w:t>
      </w:r>
    </w:p>
    <w:p>
      <w:pPr>
        <w:jc w:val="center"/>
      </w:pPr>
      <w:r>
        <w:rPr>
          <w:color w:val="374151"/>
          <w:sz w:val="22"/>
        </w:rPr>
        <w:t>Conformidade com o Decreto-Lei n.º 125/2025 (NIS2)</w:t>
      </w:r>
    </w:p>
    <w:p>
      <w:pPr>
        <w:jc w:val="center"/>
      </w:pPr>
      <w:r>
        <w:rPr>
          <w:b/>
          <w:color w:val="374151"/>
          <w:sz w:val="22"/>
        </w:rPr>
        <w:t xml:space="preserve">Versão: </w:t>
      </w:r>
      <w:r>
        <w:rPr>
          <w:color w:val="374151"/>
          <w:sz w:val="22"/>
        </w:rPr>
        <w:t>1.0</w:t>
      </w:r>
    </w:p>
    <w:p>
      <w:pPr>
        <w:jc w:val="center"/>
      </w:pPr>
      <w:r>
        <w:rPr>
          <w:b/>
          <w:color w:val="374151"/>
          <w:sz w:val="22"/>
        </w:rPr>
        <w:t xml:space="preserve">Data: </w:t>
      </w:r>
      <w:r>
        <w:rPr>
          <w:color w:val="374151"/>
          <w:sz w:val="22"/>
        </w:rPr>
        <w:t>09/04/2026</w:t>
      </w:r>
    </w:p>
    <w:p>
      <w:pPr>
        <w:jc w:val="center"/>
      </w:pPr>
      <w:r>
        <w:rPr>
          <w:b/>
          <w:color w:val="374151"/>
          <w:sz w:val="22"/>
        </w:rPr>
        <w:t xml:space="preserve">Classificação: </w:t>
      </w:r>
      <w:r>
        <w:rPr>
          <w:b/>
          <w:color w:val="DC2626"/>
          <w:sz w:val="22"/>
        </w:rPr>
        <w:t>Confidencial</w:t>
      </w:r>
    </w:p>
    <w:p/>
    <w:p>
      <w:pPr>
        <w:pStyle w:val="Heading1"/>
      </w:pPr>
      <w:r>
        <w:rPr>
          <w:b/>
          <w:color w:val="1E3A8A"/>
          <w:sz w:val="32"/>
        </w:rPr>
        <w:t>1. Objetivo e âmbito</w:t>
      </w:r>
    </w:p>
    <w:p>
      <w:r>
        <w:rPr>
          <w:color w:val="374151"/>
          <w:sz w:val="22"/>
        </w:rPr>
        <w:t>O presente plano de comunicação de crises estabelece os procedimentos, canais, mensagens-chave e responsabilidades para gerir a comunicação durante crises de cibersegurança, em conformidade com o Art. 27.º alínea b) do Decreto-Lei n.º 125/2025. O objetivo é garantir que a comunicação durante uma crise seja coordenada, consistente, oportuna e adequada aos diferentes públicos-alvo.</w:t>
      </w:r>
    </w:p>
    <w:p>
      <w:r>
        <w:rPr>
          <w:color w:val="374151"/>
          <w:sz w:val="22"/>
        </w:rPr>
        <w:t>Uma comunicação eficaz durante uma crise de cibersegurança é fundamental para manter a confiança das partes interessadas, cumprir as obrigações legais de notificação, minimizar o impacto reputacional e operacional e coordenar a resposta entre as diferentes equipas internas e externas. A ausência de um plano de comunicação pode levar a mensagens contraditórias, divulgação prematura de informação sensível ou incumprimento dos prazos de notificação regulatória.</w:t>
      </w:r>
    </w:p>
    <w:p>
      <w:r>
        <w:rPr>
          <w:color w:val="374151"/>
          <w:sz w:val="22"/>
        </w:rPr>
        <w:t>O âmbito deste plano abrange todas as crises de cibersegurança com potencial impacto significativo nos serviços da organização, nos dados dos clientes, na reputação da organização ou que desencadeiem obrigações de notificação ao abrigo do DL 125/2025 ou do RGPD.</w:t>
      </w:r>
    </w:p>
    <w:p>
      <w:pPr>
        <w:pStyle w:val="Heading1"/>
      </w:pPr>
      <w:r>
        <w:rPr>
          <w:b/>
          <w:color w:val="1E3A8A"/>
          <w:sz w:val="32"/>
        </w:rPr>
        <w:t>2. Enquadramento legal</w:t>
      </w:r>
    </w:p>
    <w:p>
      <w:r>
        <w:rPr>
          <w:color w:val="374151"/>
          <w:sz w:val="22"/>
        </w:rPr>
        <w:t>As seguintes disposições do Decreto-Lei n.º 125/2025 fundamentam e condicionam a comunicação durante crises de cibersegurança:</w:t>
      </w:r>
    </w:p>
    <w:p>
      <w:pPr>
        <w:pStyle w:val="ListParagraph"/>
      </w:pPr>
      <w:r>
        <w:rPr>
          <w:color w:val="374151"/>
          <w:sz w:val="22"/>
        </w:rPr>
        <w:t>Art. 27.º alínea b) — obrigação de implementar medidas de gestão de incidentes, incluindo procedimentos de comunicação de crises.</w:t>
      </w:r>
    </w:p>
    <w:p>
      <w:pPr>
        <w:pStyle w:val="ListParagraph"/>
      </w:pPr>
      <w:r>
        <w:rPr>
          <w:color w:val="374151"/>
          <w:sz w:val="22"/>
        </w:rPr>
        <w:t>Art. 42.º — obrigações de notificação ao CNCS com prazos imperativos (24h, 72h, após resolução), que determinam o cronograma de comunicação com esta entidade reguladora.</w:t>
      </w:r>
    </w:p>
    <w:p>
      <w:pPr>
        <w:pStyle w:val="ListParagraph"/>
      </w:pPr>
      <w:r>
        <w:rPr>
          <w:color w:val="374151"/>
          <w:sz w:val="22"/>
        </w:rPr>
        <w:t>Art. 44.º — relatório final ao CNCS no prazo de 30 dias úteis, que deve incluir a descrição das medidas de comunicação adotadas.</w:t>
      </w:r>
    </w:p>
    <w:p>
      <w:pPr>
        <w:pStyle w:val="ListParagraph"/>
      </w:pPr>
      <w:r>
        <w:rPr>
          <w:color w:val="374151"/>
          <w:sz w:val="22"/>
        </w:rPr>
        <w:t>Art. 48.º — o CNCS pode exigir a divulgação pública do incidente quando tal seja necessário para o interesse público, para a prevenção de incidentes ou para alertar utilizadores de serviços.</w:t>
      </w:r>
    </w:p>
    <w:p>
      <w:pPr>
        <w:pStyle w:val="ListParagraph"/>
      </w:pPr>
      <w:r>
        <w:rPr>
          <w:color w:val="374151"/>
          <w:sz w:val="22"/>
        </w:rPr>
        <w:t>RGPD Art. 34.º — obrigação de comunicar diretamente aos titulares dos dados quando a violação implica um elevado risco para os seus direitos e liberdades, sem que tal seja possível adiar ou ignorar.</w:t>
      </w:r>
    </w:p>
    <w:p>
      <w:pPr>
        <w:pStyle w:val="Heading1"/>
      </w:pPr>
      <w:r>
        <w:rPr>
          <w:b/>
          <w:color w:val="1E3A8A"/>
          <w:sz w:val="32"/>
        </w:rPr>
        <w:t>3. Equipa de comunicação de crise</w:t>
      </w:r>
    </w:p>
    <w:p>
      <w:r>
        <w:rPr>
          <w:color w:val="374151"/>
          <w:sz w:val="22"/>
        </w:rPr>
        <w:t>A gestão da comunicação durante uma crise requer papéis claramente definidos e uma cadeia de comando estabelecida. A equipa de comunicação de crise é ativada pelo CISO ou pelo CEO assim que um incidente de nível Alto ou Crítico é declarado:</w:t>
      </w:r>
    </w:p>
    <w:tbl>
      <w:tblPr>
        <w:tblStyle w:val="TableGrid"/>
        <w:tblW w:type="auto" w:w="0"/>
        <w:tblLook w:firstColumn="1" w:firstRow="1" w:lastColumn="0" w:lastRow="0" w:noHBand="0" w:noVBand="1" w:val="04A0"/>
      </w:tblPr>
      <w:tblGrid>
        <w:gridCol w:w="2351"/>
        <w:gridCol w:w="2351"/>
        <w:gridCol w:w="2351"/>
        <w:gridCol w:w="2351"/>
      </w:tblGrid>
      <w:tr>
        <w:tc>
          <w:tcPr>
            <w:tcW w:type="dxa" w:w="2351"/>
            <w:shd w:color="1e3a8a" w:val="solid"/>
            <w:vAlign w:val="center"/>
          </w:tcPr>
          <w:p>
            <w:pPr>
              <w:jc w:val="center"/>
            </w:pPr>
            <w:r/>
            <w:r>
              <w:rPr>
                <w:b/>
                <w:color w:val="FFFFFF"/>
                <w:sz w:val="22"/>
              </w:rPr>
              <w:t>Função</w:t>
            </w:r>
          </w:p>
        </w:tc>
        <w:tc>
          <w:tcPr>
            <w:tcW w:type="dxa" w:w="2351"/>
            <w:shd w:color="1e3a8a" w:val="solid"/>
            <w:vAlign w:val="center"/>
          </w:tcPr>
          <w:p>
            <w:pPr>
              <w:jc w:val="center"/>
            </w:pPr>
            <w:r/>
            <w:r>
              <w:rPr>
                <w:b/>
                <w:color w:val="FFFFFF"/>
                <w:sz w:val="22"/>
              </w:rPr>
              <w:t>Titular</w:t>
            </w:r>
          </w:p>
        </w:tc>
        <w:tc>
          <w:tcPr>
            <w:tcW w:type="dxa" w:w="2351"/>
            <w:shd w:color="1e3a8a" w:val="solid"/>
            <w:vAlign w:val="center"/>
          </w:tcPr>
          <w:p>
            <w:pPr>
              <w:jc w:val="center"/>
            </w:pPr>
            <w:r/>
            <w:r>
              <w:rPr>
                <w:b/>
                <w:color w:val="FFFFFF"/>
                <w:sz w:val="22"/>
              </w:rPr>
              <w:t>Responsabilidades</w:t>
            </w:r>
          </w:p>
        </w:tc>
        <w:tc>
          <w:tcPr>
            <w:tcW w:type="dxa" w:w="2351"/>
            <w:shd w:color="1e3a8a" w:val="solid"/>
            <w:vAlign w:val="center"/>
          </w:tcPr>
          <w:p>
            <w:pPr>
              <w:jc w:val="center"/>
            </w:pPr>
            <w:r/>
            <w:r>
              <w:rPr>
                <w:b/>
                <w:color w:val="FFFFFF"/>
                <w:sz w:val="22"/>
              </w:rPr>
              <w:t>Substituto</w:t>
            </w:r>
          </w:p>
        </w:tc>
      </w:tr>
      <w:tr>
        <w:tc>
          <w:tcPr>
            <w:tcW w:type="dxa" w:w="2351"/>
          </w:tcPr>
          <w:p>
            <w:r/>
            <w:r>
              <w:rPr>
                <w:color w:val="374151"/>
                <w:sz w:val="22"/>
              </w:rPr>
              <w:t>Porta-voz principal</w:t>
            </w:r>
          </w:p>
        </w:tc>
        <w:tc>
          <w:tcPr>
            <w:tcW w:type="dxa" w:w="2351"/>
          </w:tcPr>
          <w:p>
            <w:r/>
            <w:r>
              <w:rPr>
                <w:color w:val="374151"/>
                <w:sz w:val="22"/>
              </w:rPr>
              <w:t>[CEO / Administrador]</w:t>
            </w:r>
          </w:p>
        </w:tc>
        <w:tc>
          <w:tcPr>
            <w:tcW w:type="dxa" w:w="2351"/>
          </w:tcPr>
          <w:p>
            <w:r/>
            <w:r>
              <w:rPr>
                <w:color w:val="374151"/>
                <w:sz w:val="22"/>
              </w:rPr>
              <w:t>Comunicações externas, media, clientes principais</w:t>
            </w:r>
          </w:p>
        </w:tc>
        <w:tc>
          <w:tcPr>
            <w:tcW w:type="dxa" w:w="2351"/>
          </w:tcPr>
          <w:p>
            <w:r/>
            <w:r>
              <w:rPr>
                <w:color w:val="374151"/>
                <w:sz w:val="22"/>
              </w:rPr>
              <w:t>[COO]</w:t>
            </w:r>
          </w:p>
        </w:tc>
      </w:tr>
      <w:tr>
        <w:tc>
          <w:tcPr>
            <w:tcW w:type="dxa" w:w="2351"/>
          </w:tcPr>
          <w:p>
            <w:r/>
            <w:r>
              <w:rPr>
                <w:color w:val="374151"/>
                <w:sz w:val="22"/>
              </w:rPr>
              <w:t>Responsável comunicação interna</w:t>
            </w:r>
          </w:p>
        </w:tc>
        <w:tc>
          <w:tcPr>
            <w:tcW w:type="dxa" w:w="2351"/>
          </w:tcPr>
          <w:p>
            <w:r/>
            <w:r>
              <w:rPr>
                <w:color w:val="374151"/>
                <w:sz w:val="22"/>
              </w:rPr>
              <w:t>[Diretor RH / Comunicação]</w:t>
            </w:r>
          </w:p>
        </w:tc>
        <w:tc>
          <w:tcPr>
            <w:tcW w:type="dxa" w:w="2351"/>
          </w:tcPr>
          <w:p>
            <w:r/>
            <w:r>
              <w:rPr>
                <w:color w:val="374151"/>
                <w:sz w:val="22"/>
              </w:rPr>
              <w:t>Colaboradores, intranet, reuniões de equipa</w:t>
            </w:r>
          </w:p>
        </w:tc>
        <w:tc>
          <w:tcPr>
            <w:tcW w:type="dxa" w:w="2351"/>
          </w:tcPr>
          <w:p>
            <w:r/>
            <w:r>
              <w:rPr>
                <w:color w:val="374151"/>
                <w:sz w:val="22"/>
              </w:rPr>
              <w:t>[CISO]</w:t>
            </w:r>
          </w:p>
        </w:tc>
      </w:tr>
      <w:tr>
        <w:tc>
          <w:tcPr>
            <w:tcW w:type="dxa" w:w="2351"/>
          </w:tcPr>
          <w:p>
            <w:r/>
            <w:r>
              <w:rPr>
                <w:color w:val="374151"/>
                <w:sz w:val="22"/>
              </w:rPr>
              <w:t>Responsável reguladores</w:t>
            </w:r>
          </w:p>
        </w:tc>
        <w:tc>
          <w:tcPr>
            <w:tcW w:type="dxa" w:w="2351"/>
          </w:tcPr>
          <w:p>
            <w:r/>
            <w:r>
              <w:rPr>
                <w:color w:val="374151"/>
                <w:sz w:val="22"/>
              </w:rPr>
              <w:t>[CISO / DPO]</w:t>
            </w:r>
          </w:p>
        </w:tc>
        <w:tc>
          <w:tcPr>
            <w:tcW w:type="dxa" w:w="2351"/>
          </w:tcPr>
          <w:p>
            <w:r/>
            <w:r>
              <w:rPr>
                <w:color w:val="374151"/>
                <w:sz w:val="22"/>
              </w:rPr>
              <w:t>CNCS, CNPD, regulador setorial</w:t>
            </w:r>
          </w:p>
        </w:tc>
        <w:tc>
          <w:tcPr>
            <w:tcW w:type="dxa" w:w="2351"/>
          </w:tcPr>
          <w:p>
            <w:r/>
            <w:r>
              <w:rPr>
                <w:color w:val="374151"/>
                <w:sz w:val="22"/>
              </w:rPr>
              <w:t>[Assessor jurídico]</w:t>
            </w:r>
          </w:p>
        </w:tc>
      </w:tr>
      <w:tr>
        <w:tc>
          <w:tcPr>
            <w:tcW w:type="dxa" w:w="2351"/>
          </w:tcPr>
          <w:p>
            <w:r/>
            <w:r>
              <w:rPr>
                <w:color w:val="374151"/>
                <w:sz w:val="22"/>
              </w:rPr>
              <w:t>Assessoria jurídica</w:t>
            </w:r>
          </w:p>
        </w:tc>
        <w:tc>
          <w:tcPr>
            <w:tcW w:type="dxa" w:w="2351"/>
          </w:tcPr>
          <w:p>
            <w:r/>
            <w:r>
              <w:rPr>
                <w:color w:val="374151"/>
                <w:sz w:val="22"/>
              </w:rPr>
              <w:t>[Advogado interno / externo]</w:t>
            </w:r>
          </w:p>
        </w:tc>
        <w:tc>
          <w:tcPr>
            <w:tcW w:type="dxa" w:w="2351"/>
          </w:tcPr>
          <w:p>
            <w:r/>
            <w:r>
              <w:rPr>
                <w:color w:val="374151"/>
                <w:sz w:val="22"/>
              </w:rPr>
              <w:t>Revisão de comunicações, responsabilidade legal</w:t>
            </w:r>
          </w:p>
        </w:tc>
        <w:tc>
          <w:tcPr>
            <w:tcW w:type="dxa" w:w="2351"/>
          </w:tcPr>
          <w:p>
            <w:r/>
            <w:r>
              <w:rPr>
                <w:color w:val="374151"/>
                <w:sz w:val="22"/>
              </w:rPr>
              <w:t>[Firma jurídica externa]</w:t>
            </w:r>
          </w:p>
        </w:tc>
      </w:tr>
      <w:tr>
        <w:tc>
          <w:tcPr>
            <w:tcW w:type="dxa" w:w="2351"/>
          </w:tcPr>
          <w:p>
            <w:r/>
            <w:r>
              <w:rPr>
                <w:color w:val="374151"/>
                <w:sz w:val="22"/>
              </w:rPr>
              <w:t>Relações públicas / Comunicação</w:t>
            </w:r>
          </w:p>
        </w:tc>
        <w:tc>
          <w:tcPr>
            <w:tcW w:type="dxa" w:w="2351"/>
          </w:tcPr>
          <w:p>
            <w:r/>
            <w:r>
              <w:rPr>
                <w:color w:val="374151"/>
                <w:sz w:val="22"/>
              </w:rPr>
              <w:t>[Responsável RP / agência externa]</w:t>
            </w:r>
          </w:p>
        </w:tc>
        <w:tc>
          <w:tcPr>
            <w:tcW w:type="dxa" w:w="2351"/>
          </w:tcPr>
          <w:p>
            <w:r/>
            <w:r>
              <w:rPr>
                <w:color w:val="374151"/>
                <w:sz w:val="22"/>
              </w:rPr>
              <w:t>Media, comunicados, monitorização mediática</w:t>
            </w:r>
          </w:p>
        </w:tc>
        <w:tc>
          <w:tcPr>
            <w:tcW w:type="dxa" w:w="2351"/>
          </w:tcPr>
          <w:p>
            <w:r/>
            <w:r>
              <w:rPr>
                <w:color w:val="374151"/>
                <w:sz w:val="22"/>
              </w:rPr>
              <w:t>[Agência externa]</w:t>
            </w:r>
          </w:p>
        </w:tc>
      </w:tr>
    </w:tbl>
    <w:p/>
    <w:p>
      <w:pPr>
        <w:pStyle w:val="Heading1"/>
      </w:pPr>
      <w:r>
        <w:rPr>
          <w:b/>
          <w:color w:val="1E3A8A"/>
          <w:sz w:val="32"/>
        </w:rPr>
        <w:t>4. Públicos-alvo e abordagem de comunicação</w:t>
      </w:r>
    </w:p>
    <w:p>
      <w:r>
        <w:rPr>
          <w:color w:val="374151"/>
          <w:sz w:val="22"/>
        </w:rPr>
        <w:t>A comunicação deve ser adaptada a cada público-alvo, tendo em conta as suas necessidades de informação, o seu papel na resposta à crise e os requisitos legais aplicáveis. A seguinte tabela define a abordagem de comunicação para cada grupo:</w:t>
      </w:r>
    </w:p>
    <w:tbl>
      <w:tblPr>
        <w:tblStyle w:val="TableGrid"/>
        <w:tblW w:type="auto" w:w="0"/>
        <w:tblLook w:firstColumn="1" w:firstRow="1" w:lastColumn="0" w:lastRow="0" w:noHBand="0" w:noVBand="1" w:val="04A0"/>
      </w:tblPr>
      <w:tblGrid>
        <w:gridCol w:w="2351"/>
        <w:gridCol w:w="2351"/>
        <w:gridCol w:w="2351"/>
        <w:gridCol w:w="2351"/>
      </w:tblGrid>
      <w:tr>
        <w:tc>
          <w:tcPr>
            <w:tcW w:type="dxa" w:w="2351"/>
            <w:shd w:color="1e3a8a" w:val="solid"/>
            <w:vAlign w:val="center"/>
          </w:tcPr>
          <w:p>
            <w:pPr>
              <w:jc w:val="center"/>
            </w:pPr>
            <w:r/>
            <w:r>
              <w:rPr>
                <w:b/>
                <w:color w:val="FFFFFF"/>
                <w:sz w:val="22"/>
              </w:rPr>
              <w:t>Público-alvo</w:t>
            </w:r>
          </w:p>
        </w:tc>
        <w:tc>
          <w:tcPr>
            <w:tcW w:type="dxa" w:w="2351"/>
            <w:shd w:color="1e3a8a" w:val="solid"/>
            <w:vAlign w:val="center"/>
          </w:tcPr>
          <w:p>
            <w:pPr>
              <w:jc w:val="center"/>
            </w:pPr>
            <w:r/>
            <w:r>
              <w:rPr>
                <w:b/>
                <w:color w:val="FFFFFF"/>
                <w:sz w:val="22"/>
              </w:rPr>
              <w:t>Quando comunicar</w:t>
            </w:r>
          </w:p>
        </w:tc>
        <w:tc>
          <w:tcPr>
            <w:tcW w:type="dxa" w:w="2351"/>
            <w:shd w:color="1e3a8a" w:val="solid"/>
            <w:vAlign w:val="center"/>
          </w:tcPr>
          <w:p>
            <w:pPr>
              <w:jc w:val="center"/>
            </w:pPr>
            <w:r/>
            <w:r>
              <w:rPr>
                <w:b/>
                <w:color w:val="FFFFFF"/>
                <w:sz w:val="22"/>
              </w:rPr>
              <w:t>Canal preferido</w:t>
            </w:r>
          </w:p>
        </w:tc>
        <w:tc>
          <w:tcPr>
            <w:tcW w:type="dxa" w:w="2351"/>
            <w:shd w:color="1e3a8a" w:val="solid"/>
            <w:vAlign w:val="center"/>
          </w:tcPr>
          <w:p>
            <w:pPr>
              <w:jc w:val="center"/>
            </w:pPr>
            <w:r/>
            <w:r>
              <w:rPr>
                <w:b/>
                <w:color w:val="FFFFFF"/>
                <w:sz w:val="22"/>
              </w:rPr>
              <w:t>Nível de detalhe</w:t>
            </w:r>
          </w:p>
        </w:tc>
      </w:tr>
      <w:tr>
        <w:tc>
          <w:tcPr>
            <w:tcW w:type="dxa" w:w="2351"/>
          </w:tcPr>
          <w:p>
            <w:r/>
            <w:r>
              <w:rPr>
                <w:color w:val="374151"/>
                <w:sz w:val="22"/>
              </w:rPr>
              <w:t>Colaboradores</w:t>
            </w:r>
          </w:p>
        </w:tc>
        <w:tc>
          <w:tcPr>
            <w:tcW w:type="dxa" w:w="2351"/>
          </w:tcPr>
          <w:p>
            <w:r/>
            <w:r>
              <w:rPr>
                <w:color w:val="374151"/>
                <w:sz w:val="22"/>
              </w:rPr>
              <w:t>Primeira hora</w:t>
            </w:r>
          </w:p>
        </w:tc>
        <w:tc>
          <w:tcPr>
            <w:tcW w:type="dxa" w:w="2351"/>
          </w:tcPr>
          <w:p>
            <w:r/>
            <w:r>
              <w:rPr>
                <w:color w:val="374151"/>
                <w:sz w:val="22"/>
              </w:rPr>
              <w:t>Email seguro / intranet</w:t>
            </w:r>
          </w:p>
        </w:tc>
        <w:tc>
          <w:tcPr>
            <w:tcW w:type="dxa" w:w="2351"/>
          </w:tcPr>
          <w:p>
            <w:r/>
            <w:r>
              <w:rPr>
                <w:color w:val="374151"/>
                <w:sz w:val="22"/>
              </w:rPr>
              <w:t>Operacional (o que fazer/não fazer)</w:t>
            </w:r>
          </w:p>
        </w:tc>
      </w:tr>
      <w:tr>
        <w:tc>
          <w:tcPr>
            <w:tcW w:type="dxa" w:w="2351"/>
          </w:tcPr>
          <w:p>
            <w:r/>
            <w:r>
              <w:rPr>
                <w:color w:val="374151"/>
                <w:sz w:val="22"/>
              </w:rPr>
              <w:t>Órgão de gestão</w:t>
            </w:r>
          </w:p>
        </w:tc>
        <w:tc>
          <w:tcPr>
            <w:tcW w:type="dxa" w:w="2351"/>
          </w:tcPr>
          <w:p>
            <w:r/>
            <w:r>
              <w:rPr>
                <w:color w:val="374151"/>
                <w:sz w:val="22"/>
              </w:rPr>
              <w:t>Imediato</w:t>
            </w:r>
          </w:p>
        </w:tc>
        <w:tc>
          <w:tcPr>
            <w:tcW w:type="dxa" w:w="2351"/>
          </w:tcPr>
          <w:p>
            <w:r/>
            <w:r>
              <w:rPr>
                <w:color w:val="374151"/>
                <w:sz w:val="22"/>
              </w:rPr>
              <w:t>Telefone / reunião presencial</w:t>
            </w:r>
          </w:p>
        </w:tc>
        <w:tc>
          <w:tcPr>
            <w:tcW w:type="dxa" w:w="2351"/>
          </w:tcPr>
          <w:p>
            <w:r/>
            <w:r>
              <w:rPr>
                <w:color w:val="374151"/>
                <w:sz w:val="22"/>
              </w:rPr>
              <w:t>Completo (técnico + legal + financeiro)</w:t>
            </w:r>
          </w:p>
        </w:tc>
      </w:tr>
      <w:tr>
        <w:tc>
          <w:tcPr>
            <w:tcW w:type="dxa" w:w="2351"/>
          </w:tcPr>
          <w:p>
            <w:r/>
            <w:r>
              <w:rPr>
                <w:color w:val="374151"/>
                <w:sz w:val="22"/>
              </w:rPr>
              <w:t>Clientes / utilizadores</w:t>
            </w:r>
          </w:p>
        </w:tc>
        <w:tc>
          <w:tcPr>
            <w:tcW w:type="dxa" w:w="2351"/>
          </w:tcPr>
          <w:p>
            <w:r/>
            <w:r>
              <w:rPr>
                <w:color w:val="374151"/>
                <w:sz w:val="22"/>
              </w:rPr>
              <w:t>Após contenção confirmada</w:t>
            </w:r>
          </w:p>
        </w:tc>
        <w:tc>
          <w:tcPr>
            <w:tcW w:type="dxa" w:w="2351"/>
          </w:tcPr>
          <w:p>
            <w:r/>
            <w:r>
              <w:rPr>
                <w:color w:val="374151"/>
                <w:sz w:val="22"/>
              </w:rPr>
              <w:t>Email / site / app</w:t>
            </w:r>
          </w:p>
        </w:tc>
        <w:tc>
          <w:tcPr>
            <w:tcW w:type="dxa" w:w="2351"/>
          </w:tcPr>
          <w:p>
            <w:r/>
            <w:r>
              <w:rPr>
                <w:color w:val="374151"/>
                <w:sz w:val="22"/>
              </w:rPr>
              <w:t>Claro e empático, sem jargão técnico</w:t>
            </w:r>
          </w:p>
        </w:tc>
      </w:tr>
      <w:tr>
        <w:tc>
          <w:tcPr>
            <w:tcW w:type="dxa" w:w="2351"/>
          </w:tcPr>
          <w:p>
            <w:r/>
            <w:r>
              <w:rPr>
                <w:color w:val="374151"/>
                <w:sz w:val="22"/>
              </w:rPr>
              <w:t>CNCS / reguladores</w:t>
            </w:r>
          </w:p>
        </w:tc>
        <w:tc>
          <w:tcPr>
            <w:tcW w:type="dxa" w:w="2351"/>
          </w:tcPr>
          <w:p>
            <w:r/>
            <w:r>
              <w:rPr>
                <w:color w:val="374151"/>
                <w:sz w:val="22"/>
              </w:rPr>
              <w:t>Conforme prazos legais (24h/72h)</w:t>
            </w:r>
          </w:p>
        </w:tc>
        <w:tc>
          <w:tcPr>
            <w:tcW w:type="dxa" w:w="2351"/>
          </w:tcPr>
          <w:p>
            <w:r/>
            <w:r>
              <w:rPr>
                <w:color w:val="374151"/>
                <w:sz w:val="22"/>
              </w:rPr>
              <w:t>Portal oficial / email seguro</w:t>
            </w:r>
          </w:p>
        </w:tc>
        <w:tc>
          <w:tcPr>
            <w:tcW w:type="dxa" w:w="2351"/>
          </w:tcPr>
          <w:p>
            <w:r/>
            <w:r>
              <w:rPr>
                <w:color w:val="374151"/>
                <w:sz w:val="22"/>
              </w:rPr>
              <w:t>Técnico e detalhado</w:t>
            </w:r>
          </w:p>
        </w:tc>
      </w:tr>
      <w:tr>
        <w:tc>
          <w:tcPr>
            <w:tcW w:type="dxa" w:w="2351"/>
          </w:tcPr>
          <w:p>
            <w:r/>
            <w:r>
              <w:rPr>
                <w:color w:val="374151"/>
                <w:sz w:val="22"/>
              </w:rPr>
              <w:t>Media / imprensa</w:t>
            </w:r>
          </w:p>
        </w:tc>
        <w:tc>
          <w:tcPr>
            <w:tcW w:type="dxa" w:w="2351"/>
          </w:tcPr>
          <w:p>
            <w:r/>
            <w:r>
              <w:rPr>
                <w:color w:val="374151"/>
                <w:sz w:val="22"/>
              </w:rPr>
              <w:t>Apenas quando inevitável ou exigido</w:t>
            </w:r>
          </w:p>
        </w:tc>
        <w:tc>
          <w:tcPr>
            <w:tcW w:type="dxa" w:w="2351"/>
          </w:tcPr>
          <w:p>
            <w:r/>
            <w:r>
              <w:rPr>
                <w:color w:val="374151"/>
                <w:sz w:val="22"/>
              </w:rPr>
              <w:t>Comunicado oficial</w:t>
            </w:r>
          </w:p>
        </w:tc>
        <w:tc>
          <w:tcPr>
            <w:tcW w:type="dxa" w:w="2351"/>
          </w:tcPr>
          <w:p>
            <w:r/>
            <w:r>
              <w:rPr>
                <w:color w:val="374151"/>
                <w:sz w:val="22"/>
              </w:rPr>
              <w:t>Mínimo necessário, sem especulação</w:t>
            </w:r>
          </w:p>
        </w:tc>
      </w:tr>
      <w:tr>
        <w:tc>
          <w:tcPr>
            <w:tcW w:type="dxa" w:w="2351"/>
          </w:tcPr>
          <w:p>
            <w:r/>
            <w:r>
              <w:rPr>
                <w:color w:val="374151"/>
                <w:sz w:val="22"/>
              </w:rPr>
              <w:t>Fornecedores / parceiros</w:t>
            </w:r>
          </w:p>
        </w:tc>
        <w:tc>
          <w:tcPr>
            <w:tcW w:type="dxa" w:w="2351"/>
          </w:tcPr>
          <w:p>
            <w:r/>
            <w:r>
              <w:rPr>
                <w:color w:val="374151"/>
                <w:sz w:val="22"/>
              </w:rPr>
              <w:t>Quando afetados ou com dados envolvidos</w:t>
            </w:r>
          </w:p>
        </w:tc>
        <w:tc>
          <w:tcPr>
            <w:tcW w:type="dxa" w:w="2351"/>
          </w:tcPr>
          <w:p>
            <w:r/>
            <w:r>
              <w:rPr>
                <w:color w:val="374151"/>
                <w:sz w:val="22"/>
              </w:rPr>
              <w:t>Email / telefone direto</w:t>
            </w:r>
          </w:p>
        </w:tc>
        <w:tc>
          <w:tcPr>
            <w:tcW w:type="dxa" w:w="2351"/>
          </w:tcPr>
          <w:p>
            <w:r/>
            <w:r>
              <w:rPr>
                <w:color w:val="374151"/>
                <w:sz w:val="22"/>
              </w:rPr>
              <w:t>Relevante para o seu serviço</w:t>
            </w:r>
          </w:p>
        </w:tc>
      </w:tr>
      <w:tr>
        <w:tc>
          <w:tcPr>
            <w:tcW w:type="dxa" w:w="2351"/>
          </w:tcPr>
          <w:p>
            <w:r/>
            <w:r>
              <w:rPr>
                <w:color w:val="374151"/>
                <w:sz w:val="22"/>
              </w:rPr>
              <w:t>Acionistas / investidores</w:t>
            </w:r>
          </w:p>
        </w:tc>
        <w:tc>
          <w:tcPr>
            <w:tcW w:type="dxa" w:w="2351"/>
          </w:tcPr>
          <w:p>
            <w:r/>
            <w:r>
              <w:rPr>
                <w:color w:val="374151"/>
                <w:sz w:val="22"/>
              </w:rPr>
              <w:t>Conforme obrigações de disclosure</w:t>
            </w:r>
          </w:p>
        </w:tc>
        <w:tc>
          <w:tcPr>
            <w:tcW w:type="dxa" w:w="2351"/>
          </w:tcPr>
          <w:p>
            <w:r/>
            <w:r>
              <w:rPr>
                <w:color w:val="374151"/>
                <w:sz w:val="22"/>
              </w:rPr>
              <w:t>Canal formal de investor relations</w:t>
            </w:r>
          </w:p>
        </w:tc>
        <w:tc>
          <w:tcPr>
            <w:tcW w:type="dxa" w:w="2351"/>
          </w:tcPr>
          <w:p>
            <w:r/>
            <w:r>
              <w:rPr>
                <w:color w:val="374151"/>
                <w:sz w:val="22"/>
              </w:rPr>
              <w:t>Impacto financeiro e medidas tomadas</w:t>
            </w:r>
          </w:p>
        </w:tc>
      </w:tr>
    </w:tbl>
    <w:p/>
    <w:p>
      <w:pPr>
        <w:pStyle w:val="Heading1"/>
      </w:pPr>
      <w:r>
        <w:rPr>
          <w:b/>
          <w:color w:val="1E3A8A"/>
          <w:sz w:val="32"/>
        </w:rPr>
        <w:t>5. Mensagens-chave por cenário</w:t>
      </w:r>
    </w:p>
    <w:p>
      <w:r>
        <w:rPr>
          <w:color w:val="374151"/>
          <w:sz w:val="22"/>
        </w:rPr>
        <w:t>As mensagens-chave são aprovadas pela liderança e pela assessoria jurídica antes de qualquer comunicação externa. Devem ser consistentes, honestas e adaptadas ao nível de informação disponível no momento da comunicação:</w:t>
      </w:r>
    </w:p>
    <w:p>
      <w:r>
        <w:rPr>
          <w:color w:val="374151"/>
          <w:sz w:val="22"/>
        </w:rPr>
        <w:t>Cenário: ataque de ransomware</w:t>
      </w:r>
    </w:p>
    <w:p>
      <w:pPr>
        <w:pStyle w:val="ListParagraph"/>
      </w:pPr>
      <w:r>
        <w:rPr>
          <w:color w:val="374151"/>
          <w:sz w:val="22"/>
        </w:rPr>
        <w:t>Mensagem-chave: "Identificámos um incidente de segurança nos nossos sistemas e ativamos imediatamente os nossos protocolos de resposta. As nossas equipas estão a trabalhar para repor os serviços e a investigar o incidente. A segurança dos dados dos nossos clientes é a nossa prioridade absoluta e estamos a cooperar com as autoridades competentes."</w:t>
      </w:r>
    </w:p>
    <w:p>
      <w:r>
        <w:rPr>
          <w:color w:val="374151"/>
          <w:sz w:val="22"/>
        </w:rPr>
        <w:t>Cenário: violação de dados pessoais</w:t>
      </w:r>
    </w:p>
    <w:p>
      <w:pPr>
        <w:pStyle w:val="ListParagraph"/>
      </w:pPr>
      <w:r>
        <w:rPr>
          <w:color w:val="374151"/>
          <w:sz w:val="22"/>
        </w:rPr>
        <w:t>Mensagem-chave: "Identificámos um acesso não autorizado que pode ter afetado [tipo de dados]. Notificámos as autoridades reguladoras competentes e estamos a investigar a extensão completa do incidente. Contactaremos diretamente todos os clientes afetados com informação específica sobre os dados em causa e as medidas que recomendamos."</w:t>
      </w:r>
    </w:p>
    <w:p>
      <w:r>
        <w:rPr>
          <w:color w:val="374151"/>
          <w:sz w:val="22"/>
        </w:rPr>
        <w:t>Cenário: indisponibilidade de serviço</w:t>
      </w:r>
    </w:p>
    <w:p>
      <w:pPr>
        <w:pStyle w:val="ListParagraph"/>
      </w:pPr>
      <w:r>
        <w:rPr>
          <w:color w:val="374151"/>
          <w:sz w:val="22"/>
        </w:rPr>
        <w:t>Mensagem-chave: "Estamos a experienciar uma perturbação técnica nos nossos serviços resultante de um incidente de cibersegurança. Estimamos o restabelecimento completo do serviço até [hora estimada]. Pedimos desculpa pelos inconvenientes causados e disponibilizamos [canal alternativo] durante este período."</w:t>
      </w:r>
    </w:p>
    <w:p>
      <w:pPr>
        <w:pStyle w:val="Heading1"/>
      </w:pPr>
      <w:r>
        <w:rPr>
          <w:b/>
          <w:color w:val="1E3A8A"/>
          <w:sz w:val="32"/>
        </w:rPr>
        <w:t>6. Templates de comunicação</w:t>
      </w:r>
    </w:p>
    <w:p>
      <w:r>
        <w:rPr>
          <w:color w:val="374151"/>
          <w:sz w:val="22"/>
        </w:rPr>
        <w:t>Os seguintes templates são utilizados como base para as comunicações durante crises. Devem ser adaptados ao contexto específico de cada incidente e aprovados pela assessoria jurídica antes de envio:</w:t>
      </w:r>
    </w:p>
    <w:p>
      <w:r>
        <w:rPr>
          <w:color w:val="374151"/>
          <w:sz w:val="22"/>
        </w:rPr>
        <w:t>Template: comunicação interna inicial (primeira hora):</w:t>
      </w:r>
    </w:p>
    <w:p>
      <w:pPr>
        <w:pStyle w:val="ListParagraph"/>
      </w:pPr>
      <w:r>
        <w:rPr>
          <w:color w:val="374151"/>
          <w:sz w:val="22"/>
        </w:rPr>
        <w:t>Assunto: [URGENTE] Incidente de segurança em curso - instruções para colaboradores</w:t>
      </w:r>
    </w:p>
    <w:p>
      <w:pPr>
        <w:pStyle w:val="ListParagraph"/>
      </w:pPr>
      <w:r>
        <w:rPr>
          <w:color w:val="374151"/>
          <w:sz w:val="22"/>
        </w:rPr>
        <w:t>Corpo: "A equipa de segurança identificou um incidente de cibersegurança que está a ser gerido de acordo com os nossos procedimentos. Pedimos que: (1) Não aceda a [sistemas afetados]; (2) Não partilhe informação sobre o incidente externamente; (3) Reporte qualquer atividade suspeita a [contacto]; (4) Aguarde instruções adicionais. A situação está a ser gerida pelas equipas competentes."</w:t>
      </w:r>
    </w:p>
    <w:p>
      <w:r>
        <w:rPr>
          <w:color w:val="374151"/>
          <w:sz w:val="22"/>
        </w:rPr>
        <w:t>Template: comunicado de imprensa (quando necessário):</w:t>
      </w:r>
    </w:p>
    <w:p>
      <w:pPr>
        <w:pStyle w:val="ListParagraph"/>
      </w:pPr>
      <w:r>
        <w:rPr>
          <w:color w:val="374151"/>
          <w:sz w:val="22"/>
        </w:rPr>
        <w:t>"[Nome da organização] está a gerir um incidente de cibersegurança. Tomámos medidas imediatas para conter o incidente e proteger os dados dos nossos clientes. Notificámos as autoridades competentes e estamos a cooperar com a investigação. Forneceremos mais informações assim que a situação o permita. Para questões dos meios de comunicação social: [contacto RP]."</w:t>
      </w:r>
    </w:p>
    <w:p>
      <w:pPr>
        <w:pStyle w:val="Heading1"/>
      </w:pPr>
      <w:r>
        <w:rPr>
          <w:b/>
          <w:color w:val="1E3A8A"/>
          <w:sz w:val="32"/>
        </w:rPr>
        <w:t>7. Canais de comunicação</w:t>
      </w:r>
    </w:p>
    <w:p>
      <w:r>
        <w:rPr>
          <w:color w:val="374151"/>
          <w:sz w:val="22"/>
        </w:rPr>
        <w:t>A disponibilidade dos canais de comunicação habituais pode estar comprometida durante um incidente de cibersegurança. O plano prevê canais alternativos para garantir a continuidade das comunicações:</w:t>
      </w:r>
    </w:p>
    <w:tbl>
      <w:tblPr>
        <w:tblStyle w:val="TableGrid"/>
        <w:tblW w:type="auto" w:w="0"/>
        <w:tblLook w:firstColumn="1" w:firstRow="1" w:lastColumn="0" w:lastRow="0" w:noHBand="0" w:noVBand="1" w:val="04A0"/>
      </w:tblPr>
      <w:tblGrid>
        <w:gridCol w:w="2351"/>
        <w:gridCol w:w="2351"/>
        <w:gridCol w:w="2351"/>
        <w:gridCol w:w="2351"/>
      </w:tblGrid>
      <w:tr>
        <w:tc>
          <w:tcPr>
            <w:tcW w:type="dxa" w:w="2351"/>
            <w:shd w:color="1e3a8a" w:val="solid"/>
            <w:vAlign w:val="center"/>
          </w:tcPr>
          <w:p>
            <w:pPr>
              <w:jc w:val="center"/>
            </w:pPr>
            <w:r/>
            <w:r>
              <w:rPr>
                <w:b/>
                <w:color w:val="FFFFFF"/>
                <w:sz w:val="22"/>
              </w:rPr>
              <w:t>Canal</w:t>
            </w:r>
          </w:p>
        </w:tc>
        <w:tc>
          <w:tcPr>
            <w:tcW w:type="dxa" w:w="2351"/>
            <w:shd w:color="1e3a8a" w:val="solid"/>
            <w:vAlign w:val="center"/>
          </w:tcPr>
          <w:p>
            <w:pPr>
              <w:jc w:val="center"/>
            </w:pPr>
            <w:r/>
            <w:r>
              <w:rPr>
                <w:b/>
                <w:color w:val="FFFFFF"/>
                <w:sz w:val="22"/>
              </w:rPr>
              <w:t>Uso primário</w:t>
            </w:r>
          </w:p>
        </w:tc>
        <w:tc>
          <w:tcPr>
            <w:tcW w:type="dxa" w:w="2351"/>
            <w:shd w:color="1e3a8a" w:val="solid"/>
            <w:vAlign w:val="center"/>
          </w:tcPr>
          <w:p>
            <w:pPr>
              <w:jc w:val="center"/>
            </w:pPr>
            <w:r/>
            <w:r>
              <w:rPr>
                <w:b/>
                <w:color w:val="FFFFFF"/>
                <w:sz w:val="22"/>
              </w:rPr>
              <w:t>Canal alternativo</w:t>
            </w:r>
          </w:p>
        </w:tc>
        <w:tc>
          <w:tcPr>
            <w:tcW w:type="dxa" w:w="2351"/>
            <w:shd w:color="1e3a8a" w:val="solid"/>
            <w:vAlign w:val="center"/>
          </w:tcPr>
          <w:p>
            <w:pPr>
              <w:jc w:val="center"/>
            </w:pPr>
            <w:r/>
            <w:r>
              <w:rPr>
                <w:b/>
                <w:color w:val="FFFFFF"/>
                <w:sz w:val="22"/>
              </w:rPr>
              <w:t>Responsável</w:t>
            </w:r>
          </w:p>
        </w:tc>
      </w:tr>
      <w:tr>
        <w:tc>
          <w:tcPr>
            <w:tcW w:type="dxa" w:w="2351"/>
          </w:tcPr>
          <w:p>
            <w:r/>
            <w:r>
              <w:rPr>
                <w:color w:val="374151"/>
                <w:sz w:val="22"/>
              </w:rPr>
              <w:t>Email corporativo</w:t>
            </w:r>
          </w:p>
        </w:tc>
        <w:tc>
          <w:tcPr>
            <w:tcW w:type="dxa" w:w="2351"/>
          </w:tcPr>
          <w:p>
            <w:r/>
            <w:r>
              <w:rPr>
                <w:color w:val="374151"/>
                <w:sz w:val="22"/>
              </w:rPr>
              <w:t>Comunicação interna e externa</w:t>
            </w:r>
          </w:p>
        </w:tc>
        <w:tc>
          <w:tcPr>
            <w:tcW w:type="dxa" w:w="2351"/>
          </w:tcPr>
          <w:p>
            <w:r/>
            <w:r>
              <w:rPr>
                <w:color w:val="374151"/>
                <w:sz w:val="22"/>
              </w:rPr>
              <w:t>Email pessoal pré-acordado / SMS</w:t>
            </w:r>
          </w:p>
        </w:tc>
        <w:tc>
          <w:tcPr>
            <w:tcW w:type="dxa" w:w="2351"/>
          </w:tcPr>
          <w:p>
            <w:r/>
            <w:r>
              <w:rPr>
                <w:color w:val="374151"/>
                <w:sz w:val="22"/>
              </w:rPr>
              <w:t>[IT / CISO]</w:t>
            </w:r>
          </w:p>
        </w:tc>
      </w:tr>
      <w:tr>
        <w:tc>
          <w:tcPr>
            <w:tcW w:type="dxa" w:w="2351"/>
          </w:tcPr>
          <w:p>
            <w:r/>
            <w:r>
              <w:rPr>
                <w:color w:val="374151"/>
                <w:sz w:val="22"/>
              </w:rPr>
              <w:t>Microsoft Teams / Slack</w:t>
            </w:r>
          </w:p>
        </w:tc>
        <w:tc>
          <w:tcPr>
            <w:tcW w:type="dxa" w:w="2351"/>
          </w:tcPr>
          <w:p>
            <w:r/>
            <w:r>
              <w:rPr>
                <w:color w:val="374151"/>
                <w:sz w:val="22"/>
              </w:rPr>
              <w:t>Coordenação de equipa</w:t>
            </w:r>
          </w:p>
        </w:tc>
        <w:tc>
          <w:tcPr>
            <w:tcW w:type="dxa" w:w="2351"/>
          </w:tcPr>
          <w:p>
            <w:r/>
            <w:r>
              <w:rPr>
                <w:color w:val="374151"/>
                <w:sz w:val="22"/>
              </w:rPr>
              <w:t>WhatsApp Business / Signal</w:t>
            </w:r>
          </w:p>
        </w:tc>
        <w:tc>
          <w:tcPr>
            <w:tcW w:type="dxa" w:w="2351"/>
          </w:tcPr>
          <w:p>
            <w:r/>
            <w:r>
              <w:rPr>
                <w:color w:val="374151"/>
                <w:sz w:val="22"/>
              </w:rPr>
              <w:t>[CISO]</w:t>
            </w:r>
          </w:p>
        </w:tc>
      </w:tr>
      <w:tr>
        <w:tc>
          <w:tcPr>
            <w:tcW w:type="dxa" w:w="2351"/>
          </w:tcPr>
          <w:p>
            <w:r/>
            <w:r>
              <w:rPr>
                <w:color w:val="374151"/>
                <w:sz w:val="22"/>
              </w:rPr>
              <w:t>Site institucional</w:t>
            </w:r>
          </w:p>
        </w:tc>
        <w:tc>
          <w:tcPr>
            <w:tcW w:type="dxa" w:w="2351"/>
          </w:tcPr>
          <w:p>
            <w:r/>
            <w:r>
              <w:rPr>
                <w:color w:val="374151"/>
                <w:sz w:val="22"/>
              </w:rPr>
              <w:t>Comunicação a clientes</w:t>
            </w:r>
          </w:p>
        </w:tc>
        <w:tc>
          <w:tcPr>
            <w:tcW w:type="dxa" w:w="2351"/>
          </w:tcPr>
          <w:p>
            <w:r/>
            <w:r>
              <w:rPr>
                <w:color w:val="374151"/>
                <w:sz w:val="22"/>
              </w:rPr>
              <w:t>Subdomínio estático / redes sociais</w:t>
            </w:r>
          </w:p>
        </w:tc>
        <w:tc>
          <w:tcPr>
            <w:tcW w:type="dxa" w:w="2351"/>
          </w:tcPr>
          <w:p>
            <w:r/>
            <w:r>
              <w:rPr>
                <w:color w:val="374151"/>
                <w:sz w:val="22"/>
              </w:rPr>
              <w:t>[Comunicação]</w:t>
            </w:r>
          </w:p>
        </w:tc>
      </w:tr>
      <w:tr>
        <w:tc>
          <w:tcPr>
            <w:tcW w:type="dxa" w:w="2351"/>
          </w:tcPr>
          <w:p>
            <w:r/>
            <w:r>
              <w:rPr>
                <w:color w:val="374151"/>
                <w:sz w:val="22"/>
              </w:rPr>
              <w:t>Telefone corporativo</w:t>
            </w:r>
          </w:p>
        </w:tc>
        <w:tc>
          <w:tcPr>
            <w:tcW w:type="dxa" w:w="2351"/>
          </w:tcPr>
          <w:p>
            <w:r/>
            <w:r>
              <w:rPr>
                <w:color w:val="374151"/>
                <w:sz w:val="22"/>
              </w:rPr>
              <w:t>Contacto com reguladores</w:t>
            </w:r>
          </w:p>
        </w:tc>
        <w:tc>
          <w:tcPr>
            <w:tcW w:type="dxa" w:w="2351"/>
          </w:tcPr>
          <w:p>
            <w:r/>
            <w:r>
              <w:rPr>
                <w:color w:val="374151"/>
                <w:sz w:val="22"/>
              </w:rPr>
              <w:t>Telemóvel pessoal</w:t>
            </w:r>
          </w:p>
        </w:tc>
        <w:tc>
          <w:tcPr>
            <w:tcW w:type="dxa" w:w="2351"/>
          </w:tcPr>
          <w:p>
            <w:r/>
            <w:r>
              <w:rPr>
                <w:color w:val="374151"/>
                <w:sz w:val="22"/>
              </w:rPr>
              <w:t>[Todos]</w:t>
            </w:r>
          </w:p>
        </w:tc>
      </w:tr>
      <w:tr>
        <w:tc>
          <w:tcPr>
            <w:tcW w:type="dxa" w:w="2351"/>
          </w:tcPr>
          <w:p>
            <w:r/>
            <w:r>
              <w:rPr>
                <w:color w:val="374151"/>
                <w:sz w:val="22"/>
              </w:rPr>
              <w:t>Portal de clientes</w:t>
            </w:r>
          </w:p>
        </w:tc>
        <w:tc>
          <w:tcPr>
            <w:tcW w:type="dxa" w:w="2351"/>
          </w:tcPr>
          <w:p>
            <w:r/>
            <w:r>
              <w:rPr>
                <w:color w:val="374151"/>
                <w:sz w:val="22"/>
              </w:rPr>
              <w:t>Notificação a utilizadores</w:t>
            </w:r>
          </w:p>
        </w:tc>
        <w:tc>
          <w:tcPr>
            <w:tcW w:type="dxa" w:w="2351"/>
          </w:tcPr>
          <w:p>
            <w:r/>
            <w:r>
              <w:rPr>
                <w:color w:val="374151"/>
                <w:sz w:val="22"/>
              </w:rPr>
              <w:t>Email direto / SMS</w:t>
            </w:r>
          </w:p>
        </w:tc>
        <w:tc>
          <w:tcPr>
            <w:tcW w:type="dxa" w:w="2351"/>
          </w:tcPr>
          <w:p>
            <w:r/>
            <w:r>
              <w:rPr>
                <w:color w:val="374151"/>
                <w:sz w:val="22"/>
              </w:rPr>
              <w:t>[IT / Marketing]</w:t>
            </w:r>
          </w:p>
        </w:tc>
      </w:tr>
    </w:tbl>
    <w:p/>
    <w:p>
      <w:pPr>
        <w:pStyle w:val="Heading1"/>
      </w:pPr>
      <w:r>
        <w:rPr>
          <w:b/>
          <w:color w:val="1E3A8A"/>
          <w:sz w:val="32"/>
        </w:rPr>
        <w:t>8. Cronograma de comunicação</w:t>
      </w:r>
    </w:p>
    <w:p>
      <w:r>
        <w:rPr>
          <w:color w:val="374151"/>
          <w:sz w:val="22"/>
        </w:rPr>
        <w:t>O cronograma de comunicação deve ser alinhado com os prazos legais de notificação e com a evolução do incidente. As comunicações devem ser regulares, mesmo que não haja novidades significativas, para demonstrar transparência e controlo da situação:</w:t>
      </w:r>
    </w:p>
    <w:p>
      <w:pPr>
        <w:pStyle w:val="ListParagraph"/>
      </w:pPr>
      <w:r>
        <w:rPr>
          <w:color w:val="374151"/>
          <w:sz w:val="22"/>
        </w:rPr>
        <w:t>Hora 0-1: ativação da equipa de comunicação de crise, comunicação interna inicial, notificação do órgão de gestão.</w:t>
      </w:r>
    </w:p>
    <w:p>
      <w:pPr>
        <w:pStyle w:val="ListParagraph"/>
      </w:pPr>
      <w:r>
        <w:rPr>
          <w:color w:val="374151"/>
          <w:sz w:val="22"/>
        </w:rPr>
        <w:t>Hora 1-4: avaliação do impacto e preparação das mensagens-chave, aprovação pela assessoria jurídica.</w:t>
      </w:r>
    </w:p>
    <w:p>
      <w:pPr>
        <w:pStyle w:val="ListParagraph"/>
      </w:pPr>
      <w:r>
        <w:rPr>
          <w:color w:val="374151"/>
          <w:sz w:val="22"/>
        </w:rPr>
        <w:t>Hora 4-24: notificação ao CNCS (se incidente significativo), primeira comunicação a clientes afetados (se aplicável), atualização interna.</w:t>
      </w:r>
    </w:p>
    <w:p>
      <w:pPr>
        <w:pStyle w:val="ListParagraph"/>
      </w:pPr>
      <w:r>
        <w:rPr>
          <w:color w:val="374151"/>
          <w:sz w:val="22"/>
        </w:rPr>
        <w:t>Hora 24-72: atualização ao CNCS, notificação à CNPD (se violação de dados pessoais), comunicação aos titulares dos dados afetados (se elevado risco).</w:t>
      </w:r>
    </w:p>
    <w:p>
      <w:pPr>
        <w:pStyle w:val="ListParagraph"/>
      </w:pPr>
      <w:r>
        <w:rPr>
          <w:color w:val="374151"/>
          <w:sz w:val="22"/>
        </w:rPr>
        <w:t>30 dias úteis: relatório final ao CNCS, comunicação conclusiva às partes interessadas, relatório ao órgão de gestão.</w:t>
      </w:r>
    </w:p>
    <w:p>
      <w:pPr>
        <w:pStyle w:val="Heading1"/>
      </w:pPr>
      <w:r>
        <w:rPr>
          <w:b/>
          <w:color w:val="1E3A8A"/>
          <w:sz w:val="32"/>
        </w:rPr>
        <w:t>9. Relação com media</w:t>
      </w:r>
    </w:p>
    <w:p>
      <w:r>
        <w:rPr>
          <w:color w:val="374151"/>
          <w:sz w:val="22"/>
        </w:rPr>
        <w:t>A comunicação com meios de comunicação social durante uma crise de cibersegurança requer gestão cuidadosa para evitar amplificação desnecessária do incidente, divulgação de informação sensível ou mensagens incorretas que possam ser exploradas por atacantes:</w:t>
      </w:r>
    </w:p>
    <w:p>
      <w:pPr>
        <w:pStyle w:val="ListParagraph"/>
      </w:pPr>
      <w:r>
        <w:rPr>
          <w:color w:val="374151"/>
          <w:sz w:val="22"/>
        </w:rPr>
        <w:t>Designar um único porta-voz para todas as interações com media — nenhum outro colaborador deve falar com jornalistas sobre o incidente.</w:t>
      </w:r>
    </w:p>
    <w:p>
      <w:pPr>
        <w:pStyle w:val="ListParagraph"/>
      </w:pPr>
      <w:r>
        <w:rPr>
          <w:color w:val="374151"/>
          <w:sz w:val="22"/>
        </w:rPr>
        <w:t>Preparar um conjunto de respostas a perguntas frequentes (FAQ), aprovadas pela assessoria jurídica, antes de qualquer contacto com media.</w:t>
      </w:r>
    </w:p>
    <w:p>
      <w:pPr>
        <w:pStyle w:val="ListParagraph"/>
      </w:pPr>
      <w:r>
        <w:rPr>
          <w:color w:val="374151"/>
          <w:sz w:val="22"/>
        </w:rPr>
        <w:t>Monitorizar ativamente as notícias e as redes sociais durante o incidente para identificar informação incorreta e preparar respostas adequadas.</w:t>
      </w:r>
    </w:p>
    <w:p>
      <w:pPr>
        <w:pStyle w:val="ListParagraph"/>
      </w:pPr>
      <w:r>
        <w:rPr>
          <w:color w:val="374151"/>
          <w:sz w:val="22"/>
        </w:rPr>
        <w:t>Se o incidente tiver cobertura mediática significativa, considerar o envolvimento de uma agência de relações públicas especializada em gestão de crises.</w:t>
      </w:r>
    </w:p>
    <w:p>
      <w:pPr>
        <w:pStyle w:val="Heading1"/>
      </w:pPr>
      <w:r>
        <w:rPr>
          <w:b/>
          <w:color w:val="1E3A8A"/>
          <w:sz w:val="32"/>
        </w:rPr>
        <w:t>10. Exercícios e formação</w:t>
      </w:r>
    </w:p>
    <w:p>
      <w:r>
        <w:rPr>
          <w:color w:val="374151"/>
          <w:sz w:val="22"/>
        </w:rPr>
        <w:t>A eficácia do plano de comunicação de crises depende da preparação e treino regular de todos os intervenientes. Os exercícios permitem identificar lacunas nos procedimentos, melhorar a coordenação entre equipas e garantir que todos conhecem o seu papel durante uma crise real:</w:t>
      </w:r>
    </w:p>
    <w:p>
      <w:pPr>
        <w:pStyle w:val="ListParagraph"/>
      </w:pPr>
      <w:r>
        <w:rPr>
          <w:color w:val="374151"/>
          <w:sz w:val="22"/>
        </w:rPr>
        <w:t>Exercício anual de simulação de crise (tabletop exercise): cenário completo com participação do CISO, DPO, assessoria jurídica, porta-voz e representante do órgão de gestão. Duração mínima de 4 horas.</w:t>
      </w:r>
    </w:p>
    <w:p>
      <w:pPr>
        <w:pStyle w:val="ListParagraph"/>
      </w:pPr>
      <w:r>
        <w:rPr>
          <w:color w:val="374151"/>
          <w:sz w:val="22"/>
        </w:rPr>
        <w:t>Formação semestral da equipa de comunicação: atualização de mensagens-chave, revisão de templates, formação de porta-voz (media training) se aplicável.</w:t>
      </w:r>
    </w:p>
    <w:p>
      <w:pPr>
        <w:pStyle w:val="ListParagraph"/>
      </w:pPr>
      <w:r>
        <w:rPr>
          <w:color w:val="374151"/>
          <w:sz w:val="22"/>
        </w:rPr>
        <w:t>Teste anual de canais alternativos: verificar que todos os canais de comunicação de emergência estão operacionais e que os contactos estão atualizados.</w:t>
      </w:r>
    </w:p>
    <w:p>
      <w:pPr>
        <w:pStyle w:val="ListParagraph"/>
      </w:pPr>
      <w:r>
        <w:rPr>
          <w:color w:val="374151"/>
          <w:sz w:val="22"/>
        </w:rPr>
        <w:t>Documentação dos exercícios: registar participantes, cenário testado, lacunas identificadas e ações de melhoria implementadas.</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