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Plano de comunicações de emergência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 e âmbito</w:t>
      </w:r>
    </w:p>
    <w:p>
      <w:r>
        <w:rPr>
          <w:color w:val="374151"/>
          <w:sz w:val="22"/>
        </w:rPr>
        <w:t>O presente plano de comunicações de emergência estabelece os procedimentos, canais e protocolos para garantir a capacidade de comunicação segura durante incidentes de cibersegurança, em conformidade com o Art. 27.º alínea i) do Decreto-Lei n.º 125/2025. O objetivo é assegurar que a organização mantém a capacidade de comunicação interna e externa mesmo quando os sistemas de comunicação habituais estão comprometidos ou indisponíveis.</w:t>
      </w:r>
    </w:p>
    <w:p>
      <w:r>
        <w:rPr>
          <w:color w:val="374151"/>
          <w:sz w:val="22"/>
        </w:rPr>
        <w:t>Durante um incidente de cibersegurança grave, como um ataque de ransomware ou uma compromisso de infraestrutura, os sistemas de comunicação habituais (email corporativo, Microsoft Teams, Slack, telefonia VoIP) podem estar inacessíveis ou comprometidos. A ausência de canais alternativos pré-estabelecidos pode paralisar a resposta ao incidente e impedir o cumprimento dos prazos de notificação regulatória.</w:t>
      </w:r>
    </w:p>
    <w:p>
      <w:r>
        <w:rPr>
          <w:color w:val="374151"/>
          <w:sz w:val="22"/>
        </w:rPr>
        <w:t>Este plano aplica-se a toda a equipa de resposta a incidentes, ao órgão de gestão e a todos os colaboradores com responsabilidades na gestão de crises de cibersegurança. Deve ser testado com regularidade e estar disponível em formato físico impresso em local acessível e seguro, independentemente da disponibilidade dos sistemas informáticos.</w:t>
      </w:r>
    </w:p>
    <w:p>
      <w:pPr>
        <w:pStyle w:val="Heading1"/>
      </w:pPr>
      <w:r>
        <w:rPr>
          <w:b/>
          <w:color w:val="1E3A8A"/>
          <w:sz w:val="32"/>
        </w:rPr>
        <w:t>2. Enquadramento legal</w:t>
      </w:r>
    </w:p>
    <w:p>
      <w:r>
        <w:rPr>
          <w:color w:val="374151"/>
          <w:sz w:val="22"/>
        </w:rPr>
        <w:t>O presente plano enquadra-se nas seguintes disposições legais:</w:t>
      </w:r>
    </w:p>
    <w:p>
      <w:pPr>
        <w:pStyle w:val="ListParagraph"/>
      </w:pPr>
      <w:r>
        <w:rPr>
          <w:color w:val="374151"/>
          <w:sz w:val="22"/>
        </w:rPr>
        <w:t>Art. 27.º alínea i) do DL 125/2025 — obrigação de implementar e manter procedimentos de comunicação de emergência seguros como parte das medidas de gestão do risco de cibersegurança.</w:t>
      </w:r>
    </w:p>
    <w:p>
      <w:pPr>
        <w:pStyle w:val="ListParagraph"/>
      </w:pPr>
      <w:r>
        <w:rPr>
          <w:color w:val="374151"/>
          <w:sz w:val="22"/>
        </w:rPr>
        <w:t>Art. 21.º n.º 2 alínea j) da Diretiva (UE) 2022/2555 (NIS2) — as entidades devem utilizar comunicações de voz, vídeo e texto seguras de emergência, conforme adequado, no âmbito das operações da entidade.</w:t>
      </w:r>
    </w:p>
    <w:p>
      <w:pPr>
        <w:pStyle w:val="ListParagraph"/>
      </w:pPr>
      <w:r>
        <w:rPr>
          <w:color w:val="374151"/>
          <w:sz w:val="22"/>
        </w:rPr>
        <w:t>Art. 27.º alínea b) do DL 125/2025 — gestão de incidentes, incluindo a manutenção de capacidades de comunicação durante incidentes.</w:t>
      </w:r>
    </w:p>
    <w:p>
      <w:pPr>
        <w:pStyle w:val="ListParagraph"/>
      </w:pPr>
      <w:r>
        <w:rPr>
          <w:color w:val="374151"/>
          <w:sz w:val="22"/>
        </w:rPr>
        <w:t>Art. 42.º do DL 125/2025 — as obrigações de notificação ao CNCS com prazos de 24h e 72h requerem que os canais de comunicação com entidades externas estejam disponíveis mesmo durante um incidente grave.</w:t>
      </w:r>
    </w:p>
    <w:p>
      <w:pPr>
        <w:pStyle w:val="ListParagraph"/>
      </w:pPr>
      <w:r>
        <w:rPr>
          <w:color w:val="374151"/>
          <w:sz w:val="22"/>
        </w:rPr>
        <w:t>Art. 27.º alínea b) — continuidade das operações durante e após incidentes de cibersegurança, incluindo a manutenção das comunicações essenciais.</w:t>
      </w:r>
    </w:p>
    <w:p>
      <w:pPr>
        <w:pStyle w:val="Heading1"/>
      </w:pPr>
      <w:r>
        <w:rPr>
          <w:b/>
          <w:color w:val="1E3A8A"/>
          <w:sz w:val="32"/>
        </w:rPr>
        <w:t>3. Canais de comunicação de emergência</w:t>
      </w:r>
    </w:p>
    <w:p>
      <w:r>
        <w:rPr>
          <w:color w:val="374151"/>
          <w:sz w:val="22"/>
        </w:rPr>
        <w:t>A organização mantém os seguintes canais de comunicação de emergência, organizados por prioridade. Os canais primários são utilizados em condições normais e em incidentes de baixa severidade. Os canais secundários são ativados quando os sistemas habituais estão indisponíveis ou comprometidos: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1881"/>
            <w:shd w:color="1e3a8a" w:val="solid"/>
            <w:vAlign w:val="center"/>
          </w:tcPr>
          <w:p>
            <w:pPr>
              <w:jc w:val="center"/>
            </w:pPr>
            <w:r/>
            <w:r>
              <w:rPr>
                <w:b/>
                <w:color w:val="FFFFFF"/>
                <w:sz w:val="22"/>
              </w:rPr>
              <w:t>Canal</w:t>
            </w:r>
          </w:p>
        </w:tc>
        <w:tc>
          <w:tcPr>
            <w:tcW w:type="dxa" w:w="1881"/>
            <w:shd w:color="1e3a8a" w:val="solid"/>
            <w:vAlign w:val="center"/>
          </w:tcPr>
          <w:p>
            <w:pPr>
              <w:jc w:val="center"/>
            </w:pPr>
            <w:r/>
            <w:r>
              <w:rPr>
                <w:b/>
                <w:color w:val="FFFFFF"/>
                <w:sz w:val="22"/>
              </w:rPr>
              <w:t>Tipo</w:t>
            </w:r>
          </w:p>
        </w:tc>
        <w:tc>
          <w:tcPr>
            <w:tcW w:type="dxa" w:w="1881"/>
            <w:shd w:color="1e3a8a" w:val="solid"/>
            <w:vAlign w:val="center"/>
          </w:tcPr>
          <w:p>
            <w:pPr>
              <w:jc w:val="center"/>
            </w:pPr>
            <w:r/>
            <w:r>
              <w:rPr>
                <w:b/>
                <w:color w:val="FFFFFF"/>
                <w:sz w:val="22"/>
              </w:rPr>
              <w:t>Quando usar</w:t>
            </w:r>
          </w:p>
        </w:tc>
        <w:tc>
          <w:tcPr>
            <w:tcW w:type="dxa" w:w="1881"/>
            <w:shd w:color="1e3a8a" w:val="solid"/>
            <w:vAlign w:val="center"/>
          </w:tcPr>
          <w:p>
            <w:pPr>
              <w:jc w:val="center"/>
            </w:pPr>
            <w:r/>
            <w:r>
              <w:rPr>
                <w:b/>
                <w:color w:val="FFFFFF"/>
                <w:sz w:val="22"/>
              </w:rPr>
              <w:t>Dependências</w:t>
            </w:r>
          </w:p>
        </w:tc>
        <w:tc>
          <w:tcPr>
            <w:tcW w:type="dxa" w:w="1881"/>
            <w:shd w:color="1e3a8a" w:val="solid"/>
            <w:vAlign w:val="center"/>
          </w:tcPr>
          <w:p>
            <w:pPr>
              <w:jc w:val="center"/>
            </w:pPr>
            <w:r/>
            <w:r>
              <w:rPr>
                <w:b/>
                <w:color w:val="FFFFFF"/>
                <w:sz w:val="22"/>
              </w:rPr>
              <w:t>Responsável ativação</w:t>
            </w:r>
          </w:p>
        </w:tc>
      </w:tr>
      <w:tr>
        <w:tc>
          <w:tcPr>
            <w:tcW w:type="dxa" w:w="1881"/>
          </w:tcPr>
          <w:p>
            <w:r/>
            <w:r>
              <w:rPr>
                <w:color w:val="374151"/>
                <w:sz w:val="22"/>
              </w:rPr>
              <w:t>Email seguro (domínio alternativo)</w:t>
            </w:r>
          </w:p>
        </w:tc>
        <w:tc>
          <w:tcPr>
            <w:tcW w:type="dxa" w:w="1881"/>
          </w:tcPr>
          <w:p>
            <w:r/>
            <w:r>
              <w:rPr>
                <w:color w:val="374151"/>
                <w:sz w:val="22"/>
              </w:rPr>
              <w:t>Primário</w:t>
            </w:r>
          </w:p>
        </w:tc>
        <w:tc>
          <w:tcPr>
            <w:tcW w:type="dxa" w:w="1881"/>
          </w:tcPr>
          <w:p>
            <w:r/>
            <w:r>
              <w:rPr>
                <w:color w:val="374151"/>
                <w:sz w:val="22"/>
              </w:rPr>
              <w:t>Incidentes de média/alta severidade</w:t>
            </w:r>
          </w:p>
        </w:tc>
        <w:tc>
          <w:tcPr>
            <w:tcW w:type="dxa" w:w="1881"/>
          </w:tcPr>
          <w:p>
            <w:r/>
            <w:r>
              <w:rPr>
                <w:color w:val="374151"/>
                <w:sz w:val="22"/>
              </w:rPr>
              <w:t>Internet, servidor externo</w:t>
            </w:r>
          </w:p>
        </w:tc>
        <w:tc>
          <w:tcPr>
            <w:tcW w:type="dxa" w:w="1881"/>
          </w:tcPr>
          <w:p>
            <w:r/>
            <w:r>
              <w:rPr>
                <w:color w:val="374151"/>
                <w:sz w:val="22"/>
              </w:rPr>
              <w:t>CISO</w:t>
            </w:r>
          </w:p>
        </w:tc>
      </w:tr>
      <w:tr>
        <w:tc>
          <w:tcPr>
            <w:tcW w:type="dxa" w:w="1881"/>
          </w:tcPr>
          <w:p>
            <w:r/>
            <w:r>
              <w:rPr>
                <w:color w:val="374151"/>
                <w:sz w:val="22"/>
              </w:rPr>
              <w:t>VPN corporativa</w:t>
            </w:r>
          </w:p>
        </w:tc>
        <w:tc>
          <w:tcPr>
            <w:tcW w:type="dxa" w:w="1881"/>
          </w:tcPr>
          <w:p>
            <w:r/>
            <w:r>
              <w:rPr>
                <w:color w:val="374151"/>
                <w:sz w:val="22"/>
              </w:rPr>
              <w:t>Primário</w:t>
            </w:r>
          </w:p>
        </w:tc>
        <w:tc>
          <w:tcPr>
            <w:tcW w:type="dxa" w:w="1881"/>
          </w:tcPr>
          <w:p>
            <w:r/>
            <w:r>
              <w:rPr>
                <w:color w:val="374151"/>
                <w:sz w:val="22"/>
              </w:rPr>
              <w:t>Acesso remoto seguro a sistemas</w:t>
            </w:r>
          </w:p>
        </w:tc>
        <w:tc>
          <w:tcPr>
            <w:tcW w:type="dxa" w:w="1881"/>
          </w:tcPr>
          <w:p>
            <w:r/>
            <w:r>
              <w:rPr>
                <w:color w:val="374151"/>
                <w:sz w:val="22"/>
              </w:rPr>
              <w:t>Internet, servidor VPN externo</w:t>
            </w:r>
          </w:p>
        </w:tc>
        <w:tc>
          <w:tcPr>
            <w:tcW w:type="dxa" w:w="1881"/>
          </w:tcPr>
          <w:p>
            <w:r/>
            <w:r>
              <w:rPr>
                <w:color w:val="374151"/>
                <w:sz w:val="22"/>
              </w:rPr>
              <w:t>IT Manager</w:t>
            </w:r>
          </w:p>
        </w:tc>
      </w:tr>
      <w:tr>
        <w:tc>
          <w:tcPr>
            <w:tcW w:type="dxa" w:w="1881"/>
          </w:tcPr>
          <w:p>
            <w:r/>
            <w:r>
              <w:rPr>
                <w:color w:val="374151"/>
                <w:sz w:val="22"/>
              </w:rPr>
              <w:t>Telemóveis corporativos</w:t>
            </w:r>
          </w:p>
        </w:tc>
        <w:tc>
          <w:tcPr>
            <w:tcW w:type="dxa" w:w="1881"/>
          </w:tcPr>
          <w:p>
            <w:r/>
            <w:r>
              <w:rPr>
                <w:color w:val="374151"/>
                <w:sz w:val="22"/>
              </w:rPr>
              <w:t>Secundário</w:t>
            </w:r>
          </w:p>
        </w:tc>
        <w:tc>
          <w:tcPr>
            <w:tcW w:type="dxa" w:w="1881"/>
          </w:tcPr>
          <w:p>
            <w:r/>
            <w:r>
              <w:rPr>
                <w:color w:val="374151"/>
                <w:sz w:val="22"/>
              </w:rPr>
              <w:t>Incidentes de alta/crítica severidade</w:t>
            </w:r>
          </w:p>
        </w:tc>
        <w:tc>
          <w:tcPr>
            <w:tcW w:type="dxa" w:w="1881"/>
          </w:tcPr>
          <w:p>
            <w:r/>
            <w:r>
              <w:rPr>
                <w:color w:val="374151"/>
                <w:sz w:val="22"/>
              </w:rPr>
              <w:t>Rede de telemóvel (não IP)</w:t>
            </w:r>
          </w:p>
        </w:tc>
        <w:tc>
          <w:tcPr>
            <w:tcW w:type="dxa" w:w="1881"/>
          </w:tcPr>
          <w:p>
            <w:r/>
            <w:r>
              <w:rPr>
                <w:color w:val="374151"/>
                <w:sz w:val="22"/>
              </w:rPr>
              <w:t>Todos</w:t>
            </w:r>
          </w:p>
        </w:tc>
      </w:tr>
      <w:tr>
        <w:tc>
          <w:tcPr>
            <w:tcW w:type="dxa" w:w="1881"/>
          </w:tcPr>
          <w:p>
            <w:r/>
            <w:r>
              <w:rPr>
                <w:color w:val="374151"/>
                <w:sz w:val="22"/>
              </w:rPr>
              <w:t>Telemóveis pessoais pré-acordados</w:t>
            </w:r>
          </w:p>
        </w:tc>
        <w:tc>
          <w:tcPr>
            <w:tcW w:type="dxa" w:w="1881"/>
          </w:tcPr>
          <w:p>
            <w:r/>
            <w:r>
              <w:rPr>
                <w:color w:val="374151"/>
                <w:sz w:val="22"/>
              </w:rPr>
              <w:t>Secundário</w:t>
            </w:r>
          </w:p>
        </w:tc>
        <w:tc>
          <w:tcPr>
            <w:tcW w:type="dxa" w:w="1881"/>
          </w:tcPr>
          <w:p>
            <w:r/>
            <w:r>
              <w:rPr>
                <w:color w:val="374151"/>
                <w:sz w:val="22"/>
              </w:rPr>
              <w:t>Sistemas corporativos comprometidos</w:t>
            </w:r>
          </w:p>
        </w:tc>
        <w:tc>
          <w:tcPr>
            <w:tcW w:type="dxa" w:w="1881"/>
          </w:tcPr>
          <w:p>
            <w:r/>
            <w:r>
              <w:rPr>
                <w:color w:val="374151"/>
                <w:sz w:val="22"/>
              </w:rPr>
              <w:t>Rede de telemóvel</w:t>
            </w:r>
          </w:p>
        </w:tc>
        <w:tc>
          <w:tcPr>
            <w:tcW w:type="dxa" w:w="1881"/>
          </w:tcPr>
          <w:p>
            <w:r/>
            <w:r>
              <w:rPr>
                <w:color w:val="374151"/>
                <w:sz w:val="22"/>
              </w:rPr>
              <w:t>Todos</w:t>
            </w:r>
          </w:p>
        </w:tc>
      </w:tr>
      <w:tr>
        <w:tc>
          <w:tcPr>
            <w:tcW w:type="dxa" w:w="1881"/>
          </w:tcPr>
          <w:p>
            <w:r/>
            <w:r>
              <w:rPr>
                <w:color w:val="374151"/>
                <w:sz w:val="22"/>
              </w:rPr>
              <w:t>Aplicação de mensagens cifradas (Signal)</w:t>
            </w:r>
          </w:p>
        </w:tc>
        <w:tc>
          <w:tcPr>
            <w:tcW w:type="dxa" w:w="1881"/>
          </w:tcPr>
          <w:p>
            <w:r/>
            <w:r>
              <w:rPr>
                <w:color w:val="374151"/>
                <w:sz w:val="22"/>
              </w:rPr>
              <w:t>Secundário</w:t>
            </w:r>
          </w:p>
        </w:tc>
        <w:tc>
          <w:tcPr>
            <w:tcW w:type="dxa" w:w="1881"/>
          </w:tcPr>
          <w:p>
            <w:r/>
            <w:r>
              <w:rPr>
                <w:color w:val="374151"/>
                <w:sz w:val="22"/>
              </w:rPr>
              <w:t>Comunicações de equipa confidenciais</w:t>
            </w:r>
          </w:p>
        </w:tc>
        <w:tc>
          <w:tcPr>
            <w:tcW w:type="dxa" w:w="1881"/>
          </w:tcPr>
          <w:p>
            <w:r/>
            <w:r>
              <w:rPr>
                <w:color w:val="374151"/>
                <w:sz w:val="22"/>
              </w:rPr>
              <w:t>Internet / dados móveis</w:t>
            </w:r>
          </w:p>
        </w:tc>
        <w:tc>
          <w:tcPr>
            <w:tcW w:type="dxa" w:w="1881"/>
          </w:tcPr>
          <w:p>
            <w:r/>
            <w:r>
              <w:rPr>
                <w:color w:val="374151"/>
                <w:sz w:val="22"/>
              </w:rPr>
              <w:t>CISO</w:t>
            </w:r>
          </w:p>
        </w:tc>
      </w:tr>
      <w:tr>
        <w:tc>
          <w:tcPr>
            <w:tcW w:type="dxa" w:w="1881"/>
          </w:tcPr>
          <w:p>
            <w:r/>
            <w:r>
              <w:rPr>
                <w:color w:val="374151"/>
                <w:sz w:val="22"/>
              </w:rPr>
              <w:t>Telefone fixo de linha analógica</w:t>
            </w:r>
          </w:p>
        </w:tc>
        <w:tc>
          <w:tcPr>
            <w:tcW w:type="dxa" w:w="1881"/>
          </w:tcPr>
          <w:p>
            <w:r/>
            <w:r>
              <w:rPr>
                <w:color w:val="374151"/>
                <w:sz w:val="22"/>
              </w:rPr>
              <w:t>Tertiary</w:t>
            </w:r>
          </w:p>
        </w:tc>
        <w:tc>
          <w:tcPr>
            <w:tcW w:type="dxa" w:w="1881"/>
          </w:tcPr>
          <w:p>
            <w:r/>
            <w:r>
              <w:rPr>
                <w:color w:val="374151"/>
                <w:sz w:val="22"/>
              </w:rPr>
              <w:t>Falha total de infraestrutura digital</w:t>
            </w:r>
          </w:p>
        </w:tc>
        <w:tc>
          <w:tcPr>
            <w:tcW w:type="dxa" w:w="1881"/>
          </w:tcPr>
          <w:p>
            <w:r/>
            <w:r>
              <w:rPr>
                <w:color w:val="374151"/>
                <w:sz w:val="22"/>
              </w:rPr>
              <w:t>Linha PSTN (independente de IP)</w:t>
            </w:r>
          </w:p>
        </w:tc>
        <w:tc>
          <w:tcPr>
            <w:tcW w:type="dxa" w:w="1881"/>
          </w:tcPr>
          <w:p>
            <w:r/>
            <w:r>
              <w:rPr>
                <w:color w:val="374151"/>
                <w:sz w:val="22"/>
              </w:rPr>
              <w:t>Receção / Gestão</w:t>
            </w:r>
          </w:p>
        </w:tc>
      </w:tr>
      <w:tr>
        <w:tc>
          <w:tcPr>
            <w:tcW w:type="dxa" w:w="1881"/>
          </w:tcPr>
          <w:p>
            <w:r/>
            <w:r>
              <w:rPr>
                <w:color w:val="374151"/>
                <w:sz w:val="22"/>
              </w:rPr>
              <w:t>Reunião presencial (sala de crise)</w:t>
            </w:r>
          </w:p>
        </w:tc>
        <w:tc>
          <w:tcPr>
            <w:tcW w:type="dxa" w:w="1881"/>
          </w:tcPr>
          <w:p>
            <w:r/>
            <w:r>
              <w:rPr>
                <w:color w:val="374151"/>
                <w:sz w:val="22"/>
              </w:rPr>
              <w:t>Tertiary</w:t>
            </w:r>
          </w:p>
        </w:tc>
        <w:tc>
          <w:tcPr>
            <w:tcW w:type="dxa" w:w="1881"/>
          </w:tcPr>
          <w:p>
            <w:r/>
            <w:r>
              <w:rPr>
                <w:color w:val="374151"/>
                <w:sz w:val="22"/>
              </w:rPr>
              <w:t>Incidentes críticos, sistemas offline</w:t>
            </w:r>
          </w:p>
        </w:tc>
        <w:tc>
          <w:tcPr>
            <w:tcW w:type="dxa" w:w="1881"/>
          </w:tcPr>
          <w:p>
            <w:r/>
            <w:r>
              <w:rPr>
                <w:color w:val="374151"/>
                <w:sz w:val="22"/>
              </w:rPr>
              <w:t>Localização física disponível</w:t>
            </w:r>
          </w:p>
        </w:tc>
        <w:tc>
          <w:tcPr>
            <w:tcW w:type="dxa" w:w="1881"/>
          </w:tcPr>
          <w:p>
            <w:r/>
            <w:r>
              <w:rPr>
                <w:color w:val="374151"/>
                <w:sz w:val="22"/>
              </w:rPr>
              <w:t>CEO / CISO</w:t>
            </w:r>
          </w:p>
        </w:tc>
      </w:tr>
    </w:tbl>
    <w:p/>
    <w:p>
      <w:pPr>
        <w:pStyle w:val="Heading1"/>
      </w:pPr>
      <w:r>
        <w:rPr>
          <w:b/>
          <w:color w:val="1E3A8A"/>
          <w:sz w:val="32"/>
        </w:rPr>
        <w:t>4. Lista de contactos de emergência 24/7</w:t>
      </w:r>
    </w:p>
    <w:p>
      <w:r>
        <w:rPr>
          <w:color w:val="374151"/>
          <w:sz w:val="22"/>
        </w:rPr>
        <w:t>A seguinte lista de contactos deve ser mantida atualizada, impressa e guardada em local físico seguro, bem como armazenada em dispositivo offline protegido. Esta lista deve ser revista e atualizada trimestralmente:</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 / Entidade</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Contacto principal</w:t>
            </w:r>
          </w:p>
        </w:tc>
        <w:tc>
          <w:tcPr>
            <w:tcW w:type="dxa" w:w="2351"/>
            <w:shd w:color="1e3a8a" w:val="solid"/>
            <w:vAlign w:val="center"/>
          </w:tcPr>
          <w:p>
            <w:pPr>
              <w:jc w:val="center"/>
            </w:pPr>
            <w:r/>
            <w:r>
              <w:rPr>
                <w:b/>
                <w:color w:val="FFFFFF"/>
                <w:sz w:val="22"/>
              </w:rPr>
              <w:t>Contacto alternativo</w:t>
            </w:r>
          </w:p>
        </w:tc>
      </w:tr>
      <w:tr>
        <w:tc>
          <w:tcPr>
            <w:tcW w:type="dxa" w:w="2351"/>
          </w:tcPr>
          <w:p>
            <w:r/>
            <w:r>
              <w:rPr>
                <w:color w:val="374151"/>
                <w:sz w:val="22"/>
              </w:rPr>
              <w:t>CISO</w:t>
            </w:r>
          </w:p>
        </w:tc>
        <w:tc>
          <w:tcPr>
            <w:tcW w:type="dxa" w:w="2351"/>
          </w:tcPr>
          <w:p>
            <w:r/>
            <w:r>
              <w:rPr>
                <w:color w:val="374151"/>
                <w:sz w:val="22"/>
              </w:rPr>
              <w:t>[Nome]</w:t>
            </w:r>
          </w:p>
        </w:tc>
        <w:tc>
          <w:tcPr>
            <w:tcW w:type="dxa" w:w="2351"/>
          </w:tcPr>
          <w:p>
            <w:r/>
            <w:r>
              <w:rPr>
                <w:color w:val="374151"/>
                <w:sz w:val="22"/>
              </w:rPr>
              <w:t>[Telemóvel pessoal]</w:t>
            </w:r>
          </w:p>
        </w:tc>
        <w:tc>
          <w:tcPr>
            <w:tcW w:type="dxa" w:w="2351"/>
          </w:tcPr>
          <w:p>
            <w:r/>
            <w:r>
              <w:rPr>
                <w:color w:val="374151"/>
                <w:sz w:val="22"/>
              </w:rPr>
              <w:t>[Email pessoal seguro]</w:t>
            </w:r>
          </w:p>
        </w:tc>
      </w:tr>
      <w:tr>
        <w:tc>
          <w:tcPr>
            <w:tcW w:type="dxa" w:w="2351"/>
          </w:tcPr>
          <w:p>
            <w:r/>
            <w:r>
              <w:rPr>
                <w:color w:val="374151"/>
                <w:sz w:val="22"/>
              </w:rPr>
              <w:t>IT Manager / Responsável técnico</w:t>
            </w:r>
          </w:p>
        </w:tc>
        <w:tc>
          <w:tcPr>
            <w:tcW w:type="dxa" w:w="2351"/>
          </w:tcPr>
          <w:p>
            <w:r/>
            <w:r>
              <w:rPr>
                <w:color w:val="374151"/>
                <w:sz w:val="22"/>
              </w:rPr>
              <w:t>[Nome]</w:t>
            </w:r>
          </w:p>
        </w:tc>
        <w:tc>
          <w:tcPr>
            <w:tcW w:type="dxa" w:w="2351"/>
          </w:tcPr>
          <w:p>
            <w:r/>
            <w:r>
              <w:rPr>
                <w:color w:val="374151"/>
                <w:sz w:val="22"/>
              </w:rPr>
              <w:t>[Telemóvel pessoal]</w:t>
            </w:r>
          </w:p>
        </w:tc>
        <w:tc>
          <w:tcPr>
            <w:tcW w:type="dxa" w:w="2351"/>
          </w:tcPr>
          <w:p>
            <w:r/>
            <w:r>
              <w:rPr>
                <w:color w:val="374151"/>
                <w:sz w:val="22"/>
              </w:rPr>
              <w:t>[Email pessoal seguro]</w:t>
            </w:r>
          </w:p>
        </w:tc>
      </w:tr>
      <w:tr>
        <w:tc>
          <w:tcPr>
            <w:tcW w:type="dxa" w:w="2351"/>
          </w:tcPr>
          <w:p>
            <w:r/>
            <w:r>
              <w:rPr>
                <w:color w:val="374151"/>
                <w:sz w:val="22"/>
              </w:rPr>
              <w:t>CEO / Administrador</w:t>
            </w:r>
          </w:p>
        </w:tc>
        <w:tc>
          <w:tcPr>
            <w:tcW w:type="dxa" w:w="2351"/>
          </w:tcPr>
          <w:p>
            <w:r/>
            <w:r>
              <w:rPr>
                <w:color w:val="374151"/>
                <w:sz w:val="22"/>
              </w:rPr>
              <w:t>[Nome]</w:t>
            </w:r>
          </w:p>
        </w:tc>
        <w:tc>
          <w:tcPr>
            <w:tcW w:type="dxa" w:w="2351"/>
          </w:tcPr>
          <w:p>
            <w:r/>
            <w:r>
              <w:rPr>
                <w:color w:val="374151"/>
                <w:sz w:val="22"/>
              </w:rPr>
              <w:t>[Telemóvel pessoal]</w:t>
            </w:r>
          </w:p>
        </w:tc>
        <w:tc>
          <w:tcPr>
            <w:tcW w:type="dxa" w:w="2351"/>
          </w:tcPr>
          <w:p>
            <w:r/>
            <w:r>
              <w:rPr>
                <w:color w:val="374151"/>
                <w:sz w:val="22"/>
              </w:rPr>
              <w:t>[Email pessoal seguro]</w:t>
            </w:r>
          </w:p>
        </w:tc>
      </w:tr>
      <w:tr>
        <w:tc>
          <w:tcPr>
            <w:tcW w:type="dxa" w:w="2351"/>
          </w:tcPr>
          <w:p>
            <w:r/>
            <w:r>
              <w:rPr>
                <w:color w:val="374151"/>
                <w:sz w:val="22"/>
              </w:rPr>
              <w:t>DPO (Encarregado de Proteção de Dados)</w:t>
            </w:r>
          </w:p>
        </w:tc>
        <w:tc>
          <w:tcPr>
            <w:tcW w:type="dxa" w:w="2351"/>
          </w:tcPr>
          <w:p>
            <w:r/>
            <w:r>
              <w:rPr>
                <w:color w:val="374151"/>
                <w:sz w:val="22"/>
              </w:rPr>
              <w:t>[Nome]</w:t>
            </w:r>
          </w:p>
        </w:tc>
        <w:tc>
          <w:tcPr>
            <w:tcW w:type="dxa" w:w="2351"/>
          </w:tcPr>
          <w:p>
            <w:r/>
            <w:r>
              <w:rPr>
                <w:color w:val="374151"/>
                <w:sz w:val="22"/>
              </w:rPr>
              <w:t>[Telemóvel pessoal]</w:t>
            </w:r>
          </w:p>
        </w:tc>
        <w:tc>
          <w:tcPr>
            <w:tcW w:type="dxa" w:w="2351"/>
          </w:tcPr>
          <w:p>
            <w:r/>
            <w:r>
              <w:rPr>
                <w:color w:val="374151"/>
                <w:sz w:val="22"/>
              </w:rPr>
              <w:t>[Email pessoal seguro]</w:t>
            </w:r>
          </w:p>
        </w:tc>
      </w:tr>
      <w:tr>
        <w:tc>
          <w:tcPr>
            <w:tcW w:type="dxa" w:w="2351"/>
          </w:tcPr>
          <w:p>
            <w:r/>
            <w:r>
              <w:rPr>
                <w:color w:val="374151"/>
                <w:sz w:val="22"/>
              </w:rPr>
              <w:t>CNCS / CERT.PT</w:t>
            </w:r>
          </w:p>
        </w:tc>
        <w:tc>
          <w:tcPr>
            <w:tcW w:type="dxa" w:w="2351"/>
          </w:tcPr>
          <w:p>
            <w:r/>
            <w:r>
              <w:rPr>
                <w:color w:val="374151"/>
                <w:sz w:val="22"/>
              </w:rPr>
              <w:t>Equipa de turno</w:t>
            </w:r>
          </w:p>
        </w:tc>
        <w:tc>
          <w:tcPr>
            <w:tcW w:type="dxa" w:w="2351"/>
          </w:tcPr>
          <w:p>
            <w:r/>
            <w:r>
              <w:rPr>
                <w:color w:val="374151"/>
                <w:sz w:val="22"/>
              </w:rPr>
              <w:t>cert@cert.pt</w:t>
            </w:r>
          </w:p>
        </w:tc>
        <w:tc>
          <w:tcPr>
            <w:tcW w:type="dxa" w:w="2351"/>
          </w:tcPr>
          <w:p>
            <w:r/>
            <w:r>
              <w:rPr>
                <w:color w:val="374151"/>
                <w:sz w:val="22"/>
              </w:rPr>
              <w:t>+351 210 497 400</w:t>
            </w:r>
          </w:p>
        </w:tc>
      </w:tr>
      <w:tr>
        <w:tc>
          <w:tcPr>
            <w:tcW w:type="dxa" w:w="2351"/>
          </w:tcPr>
          <w:p>
            <w:r/>
            <w:r>
              <w:rPr>
                <w:color w:val="374151"/>
                <w:sz w:val="22"/>
              </w:rPr>
              <w:t>Polícia Judiciária (UNC3T)</w:t>
            </w:r>
          </w:p>
        </w:tc>
        <w:tc>
          <w:tcPr>
            <w:tcW w:type="dxa" w:w="2351"/>
          </w:tcPr>
          <w:p>
            <w:r/>
            <w:r>
              <w:rPr>
                <w:color w:val="374151"/>
                <w:sz w:val="22"/>
              </w:rPr>
              <w:t>Unidade de turno</w:t>
            </w:r>
          </w:p>
        </w:tc>
        <w:tc>
          <w:tcPr>
            <w:tcW w:type="dxa" w:w="2351"/>
          </w:tcPr>
          <w:p>
            <w:r/>
            <w:r>
              <w:rPr>
                <w:color w:val="374151"/>
                <w:sz w:val="22"/>
              </w:rPr>
              <w:t>[Contacto PJ local]</w:t>
            </w:r>
          </w:p>
        </w:tc>
        <w:tc>
          <w:tcPr>
            <w:tcW w:type="dxa" w:w="2351"/>
          </w:tcPr>
          <w:p>
            <w:r/>
            <w:r>
              <w:rPr>
                <w:color w:val="374151"/>
                <w:sz w:val="22"/>
              </w:rPr>
              <w:t>21 864 5000</w:t>
            </w:r>
          </w:p>
        </w:tc>
      </w:tr>
      <w:tr>
        <w:tc>
          <w:tcPr>
            <w:tcW w:type="dxa" w:w="2351"/>
          </w:tcPr>
          <w:p>
            <w:r/>
            <w:r>
              <w:rPr>
                <w:color w:val="374151"/>
                <w:sz w:val="22"/>
              </w:rPr>
              <w:t>Fornecedor SOC/MSSP (suporte 24/7)</w:t>
            </w:r>
          </w:p>
        </w:tc>
        <w:tc>
          <w:tcPr>
            <w:tcW w:type="dxa" w:w="2351"/>
          </w:tcPr>
          <w:p>
            <w:r/>
            <w:r>
              <w:rPr>
                <w:color w:val="374151"/>
                <w:sz w:val="22"/>
              </w:rPr>
              <w:t>[Empresa]</w:t>
            </w:r>
          </w:p>
        </w:tc>
        <w:tc>
          <w:tcPr>
            <w:tcW w:type="dxa" w:w="2351"/>
          </w:tcPr>
          <w:p>
            <w:r/>
            <w:r>
              <w:rPr>
                <w:color w:val="374151"/>
                <w:sz w:val="22"/>
              </w:rPr>
              <w:t>[Número de suporte]</w:t>
            </w:r>
          </w:p>
        </w:tc>
        <w:tc>
          <w:tcPr>
            <w:tcW w:type="dxa" w:w="2351"/>
          </w:tcPr>
          <w:p>
            <w:r/>
            <w:r>
              <w:rPr>
                <w:color w:val="374151"/>
                <w:sz w:val="22"/>
              </w:rPr>
              <w:t>[Email de suporte]</w:t>
            </w:r>
          </w:p>
        </w:tc>
      </w:tr>
      <w:tr>
        <w:tc>
          <w:tcPr>
            <w:tcW w:type="dxa" w:w="2351"/>
          </w:tcPr>
          <w:p>
            <w:r/>
            <w:r>
              <w:rPr>
                <w:color w:val="374151"/>
                <w:sz w:val="22"/>
              </w:rPr>
              <w:t>Seguradora ciberrisco (linha de sinistros)</w:t>
            </w:r>
          </w:p>
        </w:tc>
        <w:tc>
          <w:tcPr>
            <w:tcW w:type="dxa" w:w="2351"/>
          </w:tcPr>
          <w:p>
            <w:r/>
            <w:r>
              <w:rPr>
                <w:color w:val="374151"/>
                <w:sz w:val="22"/>
              </w:rPr>
              <w:t>[Empresa]</w:t>
            </w:r>
          </w:p>
        </w:tc>
        <w:tc>
          <w:tcPr>
            <w:tcW w:type="dxa" w:w="2351"/>
          </w:tcPr>
          <w:p>
            <w:r/>
            <w:r>
              <w:rPr>
                <w:color w:val="374151"/>
                <w:sz w:val="22"/>
              </w:rPr>
              <w:t>[Número sinistros]</w:t>
            </w:r>
          </w:p>
        </w:tc>
        <w:tc>
          <w:tcPr>
            <w:tcW w:type="dxa" w:w="2351"/>
          </w:tcPr>
          <w:p>
            <w:r/>
            <w:r>
              <w:rPr>
                <w:color w:val="374151"/>
                <w:sz w:val="22"/>
              </w:rPr>
              <w:t>[Apólice n.º]</w:t>
            </w:r>
          </w:p>
        </w:tc>
      </w:tr>
      <w:tr>
        <w:tc>
          <w:tcPr>
            <w:tcW w:type="dxa" w:w="2351"/>
          </w:tcPr>
          <w:p>
            <w:r/>
            <w:r>
              <w:rPr>
                <w:color w:val="374151"/>
                <w:sz w:val="22"/>
              </w:rPr>
              <w:t>Assessoria jurídica de emergência</w:t>
            </w:r>
          </w:p>
        </w:tc>
        <w:tc>
          <w:tcPr>
            <w:tcW w:type="dxa" w:w="2351"/>
          </w:tcPr>
          <w:p>
            <w:r/>
            <w:r>
              <w:rPr>
                <w:color w:val="374151"/>
                <w:sz w:val="22"/>
              </w:rPr>
              <w:t>[Firma]</w:t>
            </w:r>
          </w:p>
        </w:tc>
        <w:tc>
          <w:tcPr>
            <w:tcW w:type="dxa" w:w="2351"/>
          </w:tcPr>
          <w:p>
            <w:r/>
            <w:r>
              <w:rPr>
                <w:color w:val="374151"/>
                <w:sz w:val="22"/>
              </w:rPr>
              <w:t>[Sócio de contacto]</w:t>
            </w:r>
          </w:p>
        </w:tc>
        <w:tc>
          <w:tcPr>
            <w:tcW w:type="dxa" w:w="2351"/>
          </w:tcPr>
          <w:p>
            <w:r/>
            <w:r>
              <w:rPr>
                <w:color w:val="374151"/>
                <w:sz w:val="22"/>
              </w:rPr>
              <w:t>[Telemóvel]</w:t>
            </w:r>
          </w:p>
        </w:tc>
      </w:tr>
      <w:tr>
        <w:tc>
          <w:tcPr>
            <w:tcW w:type="dxa" w:w="2351"/>
          </w:tcPr>
          <w:p>
            <w:r/>
            <w:r>
              <w:rPr>
                <w:color w:val="374151"/>
                <w:sz w:val="22"/>
              </w:rPr>
              <w:t>Assessoria de comunicação / RP</w:t>
            </w:r>
          </w:p>
        </w:tc>
        <w:tc>
          <w:tcPr>
            <w:tcW w:type="dxa" w:w="2351"/>
          </w:tcPr>
          <w:p>
            <w:r/>
            <w:r>
              <w:rPr>
                <w:color w:val="374151"/>
                <w:sz w:val="22"/>
              </w:rPr>
              <w:t>[Empresa / pessoa]</w:t>
            </w:r>
          </w:p>
        </w:tc>
        <w:tc>
          <w:tcPr>
            <w:tcW w:type="dxa" w:w="2351"/>
          </w:tcPr>
          <w:p>
            <w:r/>
            <w:r>
              <w:rPr>
                <w:color w:val="374151"/>
                <w:sz w:val="22"/>
              </w:rPr>
              <w:t>[Contacto]</w:t>
            </w:r>
          </w:p>
        </w:tc>
        <w:tc>
          <w:tcPr>
            <w:tcW w:type="dxa" w:w="2351"/>
          </w:tcPr>
          <w:p>
            <w:r/>
            <w:r>
              <w:rPr>
                <w:color w:val="374151"/>
                <w:sz w:val="22"/>
              </w:rPr>
              <w:t>[Telemóvel]</w:t>
            </w:r>
          </w:p>
        </w:tc>
      </w:tr>
    </w:tbl>
    <w:p/>
    <w:p>
      <w:pPr>
        <w:pStyle w:val="Heading1"/>
      </w:pPr>
      <w:r>
        <w:rPr>
          <w:b/>
          <w:color w:val="1E3A8A"/>
          <w:sz w:val="32"/>
        </w:rPr>
        <w:t>5. Procedimento de ativação</w:t>
      </w:r>
    </w:p>
    <w:p>
      <w:r>
        <w:rPr>
          <w:color w:val="374151"/>
          <w:sz w:val="22"/>
        </w:rPr>
        <w:t>O plano de comunicações de emergência é ativado quando os sistemas de comunicação habituais estão indisponíveis, comprometidos ou quando existe risco de compromisso das comunicações. A decisão de ativação é tomada pelo CISO ou, na sua ausência, pelo IT Manager ou CEO:</w:t>
      </w:r>
    </w:p>
    <w:p>
      <w:pPr>
        <w:pStyle w:val="ListParagraph"/>
      </w:pPr>
      <w:r>
        <w:rPr>
          <w:color w:val="374151"/>
          <w:sz w:val="22"/>
        </w:rPr>
        <w:t>Critério de ativação 1: impossibilidade de acesso ao email corporativo ou às ferramentas de colaboração (Teams, Slack) durante mais de 30 minutos em contexto de incidente de segurança.</w:t>
      </w:r>
    </w:p>
    <w:p>
      <w:pPr>
        <w:pStyle w:val="ListParagraph"/>
      </w:pPr>
      <w:r>
        <w:rPr>
          <w:color w:val="374151"/>
          <w:sz w:val="22"/>
        </w:rPr>
        <w:t>Critério de ativação 2: confirmação ou suspeita fundada de compromisso dos sistemas de email ou comunicação, que possa permitir ao atacante monitorizar ou intercetar comunicações internas.</w:t>
      </w:r>
    </w:p>
    <w:p>
      <w:pPr>
        <w:pStyle w:val="ListParagraph"/>
      </w:pPr>
      <w:r>
        <w:rPr>
          <w:color w:val="374151"/>
          <w:sz w:val="22"/>
        </w:rPr>
        <w:t>Critério de ativação 3: declaração de incidente de nível Crítico pelo CISO, independentemente da disponibilidade dos sistemas habituais, como medida preventiva.</w:t>
      </w:r>
    </w:p>
    <w:p>
      <w:pPr>
        <w:pStyle w:val="ListParagraph"/>
      </w:pPr>
      <w:r>
        <w:rPr>
          <w:color w:val="374151"/>
          <w:sz w:val="22"/>
        </w:rPr>
        <w:t>Critério de ativação 4: instrução explícita do CNCS ou autoridade competente para utilizar canais de comunicação alternativos e seguros.</w:t>
      </w:r>
    </w:p>
    <w:p>
      <w:r>
        <w:rPr>
          <w:color w:val="374151"/>
          <w:sz w:val="22"/>
        </w:rPr>
        <w:t>Procedimento de ativação: (1) CISO decide ativar o plano; (2) notificar todos os membros da equipa de resposta a incidentes pelos canais alternativos disponíveis; (3) estabelecer o canal de comunicação alternativo para coordenação (ex.: grupo Signal); (4) confirmar receção por parte de todos os membros essenciais; (5) documentar o momento da ativação e o motivo.</w:t>
      </w:r>
    </w:p>
    <w:p>
      <w:pPr>
        <w:pStyle w:val="Heading1"/>
      </w:pPr>
      <w:r>
        <w:rPr>
          <w:b/>
          <w:color w:val="1E3A8A"/>
          <w:sz w:val="32"/>
        </w:rPr>
        <w:t>6. Procedimentos de verificação de identidade</w:t>
      </w:r>
    </w:p>
    <w:p>
      <w:r>
        <w:rPr>
          <w:color w:val="374151"/>
          <w:sz w:val="22"/>
        </w:rPr>
        <w:t>Durante um incidente de cibersegurança grave, especialmente ataques de engenharia social, é fundamental verificar a identidade dos interlocutores antes de partilhar informação sensível ou executar ações com base em instruções recebidas. Os atacantes frequentemente personificam membros da equipa de IT ou da gestão para manipular colaboradores:</w:t>
      </w:r>
    </w:p>
    <w:p>
      <w:pPr>
        <w:pStyle w:val="ListParagraph"/>
      </w:pPr>
      <w:r>
        <w:rPr>
          <w:color w:val="374151"/>
          <w:sz w:val="22"/>
        </w:rPr>
        <w:t>Palavra de código de verificação: cada membro da equipa de resposta a incidentes tem uma palavra de código pessoal pré-acordada, conhecida apenas pelos membros da equipa. Partilhada verbalmente por telefone para confirmar identidade em comunicações de emergência.</w:t>
      </w:r>
    </w:p>
    <w:p>
      <w:pPr>
        <w:pStyle w:val="ListParagraph"/>
      </w:pPr>
      <w:r>
        <w:rPr>
          <w:color w:val="374151"/>
          <w:sz w:val="22"/>
        </w:rPr>
        <w:t>Verificação em dois passos: para instruções de alto impacto (transferências, desativação de sistemas, partilha de credenciais), verificar sempre a identidade por um segundo canal independente antes de executar a ação.</w:t>
      </w:r>
    </w:p>
    <w:p>
      <w:pPr>
        <w:pStyle w:val="ListParagraph"/>
      </w:pPr>
      <w:r>
        <w:rPr>
          <w:color w:val="374151"/>
          <w:sz w:val="22"/>
        </w:rPr>
        <w:t>Desconfiança saudável: qualquer pedido urgente e invulgar recebido durante um incidente, especialmente por email ou mensagem, deve ser verificado verbalmente com o suposto remetente antes de ser executado.</w:t>
      </w:r>
    </w:p>
    <w:p>
      <w:pPr>
        <w:pStyle w:val="ListParagraph"/>
      </w:pPr>
      <w:r>
        <w:rPr>
          <w:color w:val="374151"/>
          <w:sz w:val="22"/>
        </w:rPr>
        <w:t>Regra dos quatro olhos: para ações críticas (acesso a sistemas de produção, alteração de configurações de segurança, comunicações externas), exigir aprovação e presença de dois membros da equipa.</w:t>
      </w:r>
    </w:p>
    <w:p>
      <w:pPr>
        <w:pStyle w:val="Heading1"/>
      </w:pPr>
      <w:r>
        <w:rPr>
          <w:b/>
          <w:color w:val="1E3A8A"/>
          <w:sz w:val="32"/>
        </w:rPr>
        <w:t>7. Comunicações seguras em cenário de compromisso</w:t>
      </w:r>
    </w:p>
    <w:p>
      <w:r>
        <w:rPr>
          <w:color w:val="374151"/>
          <w:sz w:val="22"/>
        </w:rPr>
        <w:t>Quando os sistemas de comunicação corporativos estão comprometidos ou existe suspeita de compromisso, os seguintes procedimentos garantem a confidencialidade das comunicações durante a resposta ao incidente:</w:t>
      </w:r>
    </w:p>
    <w:p>
      <w:pPr>
        <w:pStyle w:val="ListParagraph"/>
      </w:pPr>
      <w:r>
        <w:rPr>
          <w:color w:val="374151"/>
          <w:sz w:val="22"/>
        </w:rPr>
        <w:t>Migrar imediatamente todas as comunicações de resposta ao incidente para o canal alternativo designado (Signal ou equivalente), utilizando dispositivos pessoais ou dispositivos de reserva pré-configurados.</w:t>
      </w:r>
    </w:p>
    <w:p>
      <w:pPr>
        <w:pStyle w:val="ListParagraph"/>
      </w:pPr>
      <w:r>
        <w:rPr>
          <w:color w:val="374151"/>
          <w:sz w:val="22"/>
        </w:rPr>
        <w:t>Não discutir detalhes técnicos do incidente, vulnerabilidades exploradas ou medidas de contramedida em sistemas que possam estar comprometidos ou monitorizados pelo atacante.</w:t>
      </w:r>
    </w:p>
    <w:p>
      <w:pPr>
        <w:pStyle w:val="ListParagraph"/>
      </w:pPr>
      <w:r>
        <w:rPr>
          <w:color w:val="374151"/>
          <w:sz w:val="22"/>
        </w:rPr>
        <w:t>Utilizar linguagem codificada em comunicações que possam ser intercetadas: "o assunto que conheces" em vez de "o ataque de ransomware", "reforçar a porta" em vez de "bloquear o IP do atacante".</w:t>
      </w:r>
    </w:p>
    <w:p>
      <w:pPr>
        <w:pStyle w:val="ListParagraph"/>
      </w:pPr>
      <w:r>
        <w:rPr>
          <w:color w:val="374151"/>
          <w:sz w:val="22"/>
        </w:rPr>
        <w:t>Para comunicações com o CNCS, PJ ou outros organismos externos durante um compromisso, utilizar os contactos diretos pré-estabelecidos neste plano e verificar a identidade do interlocutor.</w:t>
      </w:r>
    </w:p>
    <w:p>
      <w:r>
        <w:rPr>
          <w:color w:val="374151"/>
          <w:sz w:val="22"/>
        </w:rPr>
        <w:t>Após o incidente, realizar uma revisão de todas as comunicações efetuadas durante o período de compromisso para identificar possível divulgação não autorizada de informação sensível. Documentar no relatório pós-incidente.</w:t>
      </w:r>
    </w:p>
    <w:p>
      <w:pPr>
        <w:pStyle w:val="Heading1"/>
      </w:pPr>
      <w:r>
        <w:rPr>
          <w:b/>
          <w:color w:val="1E3A8A"/>
          <w:sz w:val="32"/>
        </w:rPr>
        <w:t>8. Testes periódicos</w:t>
      </w:r>
    </w:p>
    <w:p>
      <w:r>
        <w:rPr>
          <w:color w:val="374151"/>
          <w:sz w:val="22"/>
        </w:rPr>
        <w:t>A eficácia dos canais e procedimentos de comunicação de emergência deve ser testada regularmente para garantir que estão operacionais quando necessários. Os testes devem ser realizados sem aviso prévio à maioria dos participantes para avaliar a resposta real:</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Tipo de teste</w:t>
            </w:r>
          </w:p>
        </w:tc>
        <w:tc>
          <w:tcPr>
            <w:tcW w:type="dxa" w:w="2351"/>
            <w:shd w:color="1e3a8a" w:val="solid"/>
            <w:vAlign w:val="center"/>
          </w:tcPr>
          <w:p>
            <w:pPr>
              <w:jc w:val="center"/>
            </w:pPr>
            <w:r/>
            <w:r>
              <w:rPr>
                <w:b/>
                <w:color w:val="FFFFFF"/>
                <w:sz w:val="22"/>
              </w:rPr>
              <w:t>Frequência</w:t>
            </w:r>
          </w:p>
        </w:tc>
        <w:tc>
          <w:tcPr>
            <w:tcW w:type="dxa" w:w="2351"/>
            <w:shd w:color="1e3a8a" w:val="solid"/>
            <w:vAlign w:val="center"/>
          </w:tcPr>
          <w:p>
            <w:pPr>
              <w:jc w:val="center"/>
            </w:pPr>
            <w:r/>
            <w:r>
              <w:rPr>
                <w:b/>
                <w:color w:val="FFFFFF"/>
                <w:sz w:val="22"/>
              </w:rPr>
              <w:t>Participantes</w:t>
            </w:r>
          </w:p>
        </w:tc>
        <w:tc>
          <w:tcPr>
            <w:tcW w:type="dxa" w:w="2351"/>
            <w:shd w:color="1e3a8a" w:val="solid"/>
            <w:vAlign w:val="center"/>
          </w:tcPr>
          <w:p>
            <w:pPr>
              <w:jc w:val="center"/>
            </w:pPr>
            <w:r/>
            <w:r>
              <w:rPr>
                <w:b/>
                <w:color w:val="FFFFFF"/>
                <w:sz w:val="22"/>
              </w:rPr>
              <w:t>O que verificar</w:t>
            </w:r>
          </w:p>
        </w:tc>
      </w:tr>
      <w:tr>
        <w:tc>
          <w:tcPr>
            <w:tcW w:type="dxa" w:w="2351"/>
          </w:tcPr>
          <w:p>
            <w:r/>
            <w:r>
              <w:rPr>
                <w:color w:val="374151"/>
                <w:sz w:val="22"/>
              </w:rPr>
              <w:t>Teste de contactos</w:t>
            </w:r>
          </w:p>
        </w:tc>
        <w:tc>
          <w:tcPr>
            <w:tcW w:type="dxa" w:w="2351"/>
          </w:tcPr>
          <w:p>
            <w:r/>
            <w:r>
              <w:rPr>
                <w:color w:val="374151"/>
                <w:sz w:val="22"/>
              </w:rPr>
              <w:t>Trimestral</w:t>
            </w:r>
          </w:p>
        </w:tc>
        <w:tc>
          <w:tcPr>
            <w:tcW w:type="dxa" w:w="2351"/>
          </w:tcPr>
          <w:p>
            <w:r/>
            <w:r>
              <w:rPr>
                <w:color w:val="374151"/>
                <w:sz w:val="22"/>
              </w:rPr>
              <w:t>Toda a equipa de resposta</w:t>
            </w:r>
          </w:p>
        </w:tc>
        <w:tc>
          <w:tcPr>
            <w:tcW w:type="dxa" w:w="2351"/>
          </w:tcPr>
          <w:p>
            <w:r/>
            <w:r>
              <w:rPr>
                <w:color w:val="374151"/>
                <w:sz w:val="22"/>
              </w:rPr>
              <w:t>Atualidade dos contactos, acessibilidade, tempo de resposta</w:t>
            </w:r>
          </w:p>
        </w:tc>
      </w:tr>
      <w:tr>
        <w:tc>
          <w:tcPr>
            <w:tcW w:type="dxa" w:w="2351"/>
          </w:tcPr>
          <w:p>
            <w:r/>
            <w:r>
              <w:rPr>
                <w:color w:val="374151"/>
                <w:sz w:val="22"/>
              </w:rPr>
              <w:t>Teste de canais alternativos</w:t>
            </w:r>
          </w:p>
        </w:tc>
        <w:tc>
          <w:tcPr>
            <w:tcW w:type="dxa" w:w="2351"/>
          </w:tcPr>
          <w:p>
            <w:r/>
            <w:r>
              <w:rPr>
                <w:color w:val="374151"/>
                <w:sz w:val="22"/>
              </w:rPr>
              <w:t>Semestral</w:t>
            </w:r>
          </w:p>
        </w:tc>
        <w:tc>
          <w:tcPr>
            <w:tcW w:type="dxa" w:w="2351"/>
          </w:tcPr>
          <w:p>
            <w:r/>
            <w:r>
              <w:rPr>
                <w:color w:val="374151"/>
                <w:sz w:val="22"/>
              </w:rPr>
              <w:t>CISO, IT Manager, equipa IR</w:t>
            </w:r>
          </w:p>
        </w:tc>
        <w:tc>
          <w:tcPr>
            <w:tcW w:type="dxa" w:w="2351"/>
          </w:tcPr>
          <w:p>
            <w:r/>
            <w:r>
              <w:rPr>
                <w:color w:val="374151"/>
                <w:sz w:val="22"/>
              </w:rPr>
              <w:t>Funcionamento dos canais (Signal, email alternativo, telefone fixo)</w:t>
            </w:r>
          </w:p>
        </w:tc>
      </w:tr>
      <w:tr>
        <w:tc>
          <w:tcPr>
            <w:tcW w:type="dxa" w:w="2351"/>
          </w:tcPr>
          <w:p>
            <w:r/>
            <w:r>
              <w:rPr>
                <w:color w:val="374151"/>
                <w:sz w:val="22"/>
              </w:rPr>
              <w:t>Simulação de compromisso</w:t>
            </w:r>
          </w:p>
        </w:tc>
        <w:tc>
          <w:tcPr>
            <w:tcW w:type="dxa" w:w="2351"/>
          </w:tcPr>
          <w:p>
            <w:r/>
            <w:r>
              <w:rPr>
                <w:color w:val="374151"/>
                <w:sz w:val="22"/>
              </w:rPr>
              <w:t>Anual</w:t>
            </w:r>
          </w:p>
        </w:tc>
        <w:tc>
          <w:tcPr>
            <w:tcW w:type="dxa" w:w="2351"/>
          </w:tcPr>
          <w:p>
            <w:r/>
            <w:r>
              <w:rPr>
                <w:color w:val="374151"/>
                <w:sz w:val="22"/>
              </w:rPr>
              <w:t>Equipa de resposta + gestão</w:t>
            </w:r>
          </w:p>
        </w:tc>
        <w:tc>
          <w:tcPr>
            <w:tcW w:type="dxa" w:w="2351"/>
          </w:tcPr>
          <w:p>
            <w:r/>
            <w:r>
              <w:rPr>
                <w:color w:val="374151"/>
                <w:sz w:val="22"/>
              </w:rPr>
              <w:t>Procedimentos completos de ativação e comunicação alternativa</w:t>
            </w:r>
          </w:p>
        </w:tc>
      </w:tr>
      <w:tr>
        <w:tc>
          <w:tcPr>
            <w:tcW w:type="dxa" w:w="2351"/>
          </w:tcPr>
          <w:p>
            <w:r/>
            <w:r>
              <w:rPr>
                <w:color w:val="374151"/>
                <w:sz w:val="22"/>
              </w:rPr>
              <w:t>Verificação de documentos físicos</w:t>
            </w:r>
          </w:p>
        </w:tc>
        <w:tc>
          <w:tcPr>
            <w:tcW w:type="dxa" w:w="2351"/>
          </w:tcPr>
          <w:p>
            <w:r/>
            <w:r>
              <w:rPr>
                <w:color w:val="374151"/>
                <w:sz w:val="22"/>
              </w:rPr>
              <w:t>Semestral</w:t>
            </w:r>
          </w:p>
        </w:tc>
        <w:tc>
          <w:tcPr>
            <w:tcW w:type="dxa" w:w="2351"/>
          </w:tcPr>
          <w:p>
            <w:r/>
            <w:r>
              <w:rPr>
                <w:color w:val="374151"/>
                <w:sz w:val="22"/>
              </w:rPr>
              <w:t>CISO</w:t>
            </w:r>
          </w:p>
        </w:tc>
        <w:tc>
          <w:tcPr>
            <w:tcW w:type="dxa" w:w="2351"/>
          </w:tcPr>
          <w:p>
            <w:r/>
            <w:r>
              <w:rPr>
                <w:color w:val="374151"/>
                <w:sz w:val="22"/>
              </w:rPr>
              <w:t>Atualidade das listas impressas, localização e acessibilidade</w:t>
            </w:r>
          </w:p>
        </w:tc>
      </w:tr>
    </w:tbl>
    <w:p/>
    <w:p>
      <w:r>
        <w:rPr>
          <w:color w:val="374151"/>
          <w:sz w:val="22"/>
        </w:rPr>
        <w:t>Todos os testes devem ser documentados com data, participantes, resultados, problemas identificados e ações de melhoria. O registo de testes é mantido pelo CISO e reportado anualmente ao órgão de gestão como parte do relatório de segurança.</w:t>
      </w:r>
    </w:p>
    <w:p>
      <w:pPr>
        <w:pStyle w:val="Heading1"/>
      </w:pPr>
      <w:r>
        <w:rPr>
          <w:b/>
          <w:color w:val="1E3A8A"/>
          <w:sz w:val="32"/>
        </w:rPr>
        <w:t>9. Integração com BCP/DRP</w:t>
      </w:r>
    </w:p>
    <w:p>
      <w:r>
        <w:rPr>
          <w:color w:val="374151"/>
          <w:sz w:val="22"/>
        </w:rPr>
        <w:t>O plano de comunicações de emergência está integrado com o Plano de Continuidade de Negócio (BCP) e o Plano de Recuperação de Desastres (DRP) da organização, que definem os procedimentos mais amplos para manter as operações durante e após incidentes graves:</w:t>
      </w:r>
    </w:p>
    <w:p>
      <w:pPr>
        <w:pStyle w:val="ListParagraph"/>
      </w:pPr>
      <w:r>
        <w:rPr>
          <w:color w:val="374151"/>
          <w:sz w:val="22"/>
        </w:rPr>
        <w:t>As comunicações de emergência são ativadas automaticamente quando o BCP é ativado para cenários de cibersegurança, garantindo que as equipas de resposta podem comunicar desde o primeiro momento.</w:t>
      </w:r>
    </w:p>
    <w:p>
      <w:pPr>
        <w:pStyle w:val="ListParagraph"/>
      </w:pPr>
      <w:r>
        <w:rPr>
          <w:color w:val="374151"/>
          <w:sz w:val="22"/>
        </w:rPr>
        <w:t>Os contactos e canais definidos neste plano são referenciados no BCP e no DRP como os meios de comunicação a utilizar durante a fase de resposta ao incidente.</w:t>
      </w:r>
    </w:p>
    <w:p>
      <w:pPr>
        <w:pStyle w:val="ListParagraph"/>
      </w:pPr>
      <w:r>
        <w:rPr>
          <w:color w:val="374151"/>
          <w:sz w:val="22"/>
        </w:rPr>
        <w:t>Os testes anuais do BCP/DRP incluem necessariamente o teste dos procedimentos de comunicação de emergência, validando a integração entre os três planos.</w:t>
      </w:r>
    </w:p>
    <w:p>
      <w:pPr>
        <w:pStyle w:val="ListParagraph"/>
      </w:pPr>
      <w:r>
        <w:rPr>
          <w:color w:val="374151"/>
          <w:sz w:val="22"/>
        </w:rPr>
        <w:t>As lições aprendidas de incidentes reais e exercícios são partilhadas entre o CISO (responsável pelas comunicações de emergência), o responsável pelo BCP e o responsável pelo DRP para melhoria contínua de todos os planos.</w:t>
      </w:r>
    </w:p>
    <w:p>
      <w:pPr>
        <w:pStyle w:val="ListParagraph"/>
      </w:pPr>
      <w:r>
        <w:rPr>
          <w:color w:val="374151"/>
          <w:sz w:val="22"/>
        </w:rPr>
        <w:t>Revisão anual conjunta dos três planos para assegurar consistência e alinhamento, com aprovação do órgão de gestão conforme exigido pelo Art. 29.º do DL 125/2025.</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