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produção e distribuição alimentar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da produção e distribuição alimentar, em conformidade com o Art. 27.º alínea b) e Art. 34.º do DL 125/2025.</w:t>
      </w:r>
    </w:p>
    <w:p>
      <w:r>
        <w:rPr>
          <w:color w:val="374151"/>
          <w:sz w:val="22"/>
        </w:rPr>
        <w:t>O plano aplica-se a todos os sistemas de rastreabilidade alimentar, sistemas de gestão HACCP, sistemas de controlo da cadeia de frio, ERP/MES de produção e sistemas de etiquetagem das entidades do sector, reconhecendo que um incidente de cibersegurança pode ter impacto direto na segurança alimentar e na saúde pública.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Sistemas de cadeia de frio comprometidos com risco de contaminação; adulteração de dados de rastreabilidade em produto no mercado; ransomware em ERP com bloqueio total de rastreabilidade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sistemas HACCP; manipulação de dados de etiquetagem; comprometimento parcial de rastreabilidade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Phishing com credenciais de sistemas de produção; anomalia em sistemas de monitorização de qualidade; tentativa de acesso não autorizado a ERP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violação de política de acesso menor; scan de rede detetado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escalada, comunicação com gestão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alimentar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impacto na segurança alimentar, decisão de retirada de produto, coordenação com ASAE e DGAV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OT/ERP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de sistemas de produção, contenção de incidentes em ambiente de fábrica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correlação de eventos SIEM,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de comunicação com consumidores, coordenação legal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ASAE (Autoridade de Segurança Alimentar e Económica)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ASAE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rastreabilidade, HACCP ou etiquetagem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DGAV (Direção-Geral de Alimentação e Veterinária)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/ linha de urgência DGAV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se risco alimentar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que afetem a segurança alimentar ou sistemas veterinários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 ou fraude alimentar com componente digital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DGS (Direção-Geral da Saúde)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saúde pública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para saúde pública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na saúde dos consumidores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colaboradores, clientes ou consumidores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Ataque à cadeia de frio com risco de saúde pública</w:t>
      </w:r>
    </w:p>
    <w:p>
      <w:r>
        <w:rPr>
          <w:color w:val="374151"/>
          <w:sz w:val="22"/>
        </w:rPr>
        <w:t>Comprometimento dos sistemas de monitorização e controlo da cadeia de frio, com manipulação de temperaturas de armazenamento ou transporte, criando risco de contaminação alimentar e impacto na saúde pública.</w:t>
      </w:r>
    </w:p>
    <w:p>
      <w:pPr>
        <w:pStyle w:val="ListParagraph"/>
      </w:pPr>
      <w:r>
        <w:rPr>
          <w:color w:val="374151"/>
          <w:sz w:val="22"/>
        </w:rPr>
        <w:t>Deteção: sistema de monitorização ou operador de qualidade identifica anomalias nos registos de temperatura da cadeia de frio.</w:t>
      </w:r>
    </w:p>
    <w:p>
      <w:pPr>
        <w:pStyle w:val="ListParagraph"/>
      </w:pPr>
      <w:r>
        <w:rPr>
          <w:color w:val="374151"/>
          <w:sz w:val="22"/>
        </w:rPr>
        <w:t>Activação do protocolo de segurança alimentar: suspender a distribuição de lotes potencialmente afetados até avaliação de risco.</w:t>
      </w:r>
    </w:p>
    <w:p>
      <w:pPr>
        <w:pStyle w:val="ListParagraph"/>
      </w:pPr>
      <w:r>
        <w:rPr>
          <w:color w:val="374151"/>
          <w:sz w:val="22"/>
        </w:rPr>
        <w:t>Isolamento dos sistemas: desligar sistemas de controlo de frio comprometidos da rede e activar monitorização manual.</w:t>
      </w:r>
    </w:p>
    <w:p>
      <w:pPr>
        <w:pStyle w:val="ListParagraph"/>
      </w:pPr>
      <w:r>
        <w:rPr>
          <w:color w:val="374151"/>
          <w:sz w:val="22"/>
        </w:rPr>
        <w:t>Avaliação de impacto alimentar: verificar com os responsáveis de qualidade quais lotes foram afetados e o risco para a saúde.</w:t>
      </w:r>
    </w:p>
    <w:p>
      <w:pPr>
        <w:pStyle w:val="ListParagraph"/>
      </w:pPr>
      <w:r>
        <w:rPr>
          <w:color w:val="374151"/>
          <w:sz w:val="22"/>
        </w:rPr>
        <w:t>Notificação interna: alertar CISO, diretor de qualidade, responsável de segurança alimentar nos primeiros 30 minutos.</w:t>
      </w:r>
    </w:p>
    <w:p>
      <w:pPr>
        <w:pStyle w:val="ListParagraph"/>
      </w:pPr>
      <w:r>
        <w:rPr>
          <w:color w:val="374151"/>
          <w:sz w:val="22"/>
        </w:rPr>
        <w:t>Notificação ASAE e DGAV: contactar a Autoridade de Segurança Alimentar e Económica e a Direção-Geral de Alimentação e Veterinária em menos de 24 horas.</w:t>
      </w:r>
    </w:p>
    <w:p>
      <w:pPr>
        <w:pStyle w:val="ListParagraph"/>
      </w:pPr>
      <w:r>
        <w:rPr>
          <w:color w:val="374151"/>
          <w:sz w:val="22"/>
        </w:rPr>
        <w:t>Notificação CNCS: alerta precoce de incidente de cibersegurança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Contacto DGS: informar a Direção-Geral da Saúde se houver risco confirmado para a saúde pública.</w:t>
      </w:r>
    </w:p>
    <w:p>
      <w:pPr>
        <w:pStyle w:val="ListParagraph"/>
      </w:pPr>
      <w:r>
        <w:rPr>
          <w:color w:val="374151"/>
          <w:sz w:val="22"/>
        </w:rPr>
        <w:t>Retirada preventiva de produto: iniciar processo de recall se o risco de contaminação for confirmado.</w:t>
      </w:r>
    </w:p>
    <w:p>
      <w:pPr>
        <w:pStyle w:val="ListParagraph"/>
      </w:pPr>
      <w:r>
        <w:rPr>
          <w:color w:val="374151"/>
          <w:sz w:val="22"/>
        </w:rPr>
        <w:t>Recuperação: restaurar sistemas de frio a partir de backups testados e validar integridade dos dados de temperatura.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30 dias com análise de causa raiz e medidas corretivas.</w:t>
      </w:r>
    </w:p>
    <w:p/>
    <w:p>
      <w:r>
        <w:rPr>
          <w:color w:val="374151"/>
          <w:sz w:val="22"/>
        </w:rPr>
        <w:t>Cenário 2: Ransomware em ERP de produção alimentar</w:t>
      </w:r>
    </w:p>
    <w:p>
      <w:r>
        <w:rPr>
          <w:color w:val="374151"/>
          <w:sz w:val="22"/>
        </w:rPr>
        <w:t>Ataque de ransomware que cifra o ERP e sistemas MES de gestão de produção, bloqueando o acesso a dados de rastreabilidade, planeamento de produção e registos de qualidade.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operador identifica ficheiros cifrados ou sistemas inoperacionais.</w:t>
      </w:r>
    </w:p>
    <w:p>
      <w:pPr>
        <w:pStyle w:val="ListParagraph"/>
      </w:pPr>
      <w:r>
        <w:rPr>
          <w:color w:val="374151"/>
          <w:sz w:val="22"/>
        </w:rPr>
        <w:t>Isolamento imediato: desconectar sistemas afetados da rede corporativa e da rede OT de produção.</w:t>
      </w:r>
    </w:p>
    <w:p>
      <w:pPr>
        <w:pStyle w:val="ListParagraph"/>
      </w:pPr>
      <w:r>
        <w:rPr>
          <w:color w:val="374151"/>
          <w:sz w:val="22"/>
        </w:rPr>
        <w:t>Activação do plano de continuidade: garantir registo manual de rastreabilidade e controlo de qualidade.</w:t>
      </w:r>
    </w:p>
    <w:p>
      <w:pPr>
        <w:pStyle w:val="ListParagraph"/>
      </w:pPr>
      <w:r>
        <w:rPr>
          <w:color w:val="374151"/>
          <w:sz w:val="22"/>
        </w:rPr>
        <w:t>Avaliação de impacto: determinar quais dados de rastreabilidade foram comprometidos e o período afetado.</w:t>
      </w:r>
    </w:p>
    <w:p>
      <w:pPr>
        <w:pStyle w:val="ListParagraph"/>
      </w:pPr>
      <w:r>
        <w:rPr>
          <w:color w:val="374151"/>
          <w:sz w:val="22"/>
        </w:rPr>
        <w:t>Notificação CNCS: alerta inicial em menos de 24 horas conforme Art. 34.º DL 125/2025.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(UNC3T) para investigação criminal.</w:t>
      </w:r>
    </w:p>
    <w:p>
      <w:pPr>
        <w:pStyle w:val="ListParagraph"/>
      </w:pPr>
      <w:r>
        <w:rPr>
          <w:color w:val="374151"/>
          <w:sz w:val="22"/>
        </w:rPr>
        <w:t>Notificação ASAE e DGAV: informar as autoridades alimentares sobre o impacto nos sistemas de rastreabilidade.</w:t>
      </w:r>
    </w:p>
    <w:p>
      <w:pPr>
        <w:pStyle w:val="ListParagraph"/>
      </w:pPr>
      <w:r>
        <w:rPr>
          <w:color w:val="374151"/>
          <w:sz w:val="22"/>
        </w:rPr>
        <w:t>Recuperação controlada: restaurar ERP e MES a partir de backups testados, validando integridade dos dados de rastreabilidade.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r>
        <w:rPr>
          <w:color w:val="374151"/>
          <w:sz w:val="22"/>
        </w:rPr>
        <w:t>Cenário 3: Adulteração de dados de rastreabilidade alimentar</w:t>
      </w:r>
    </w:p>
    <w:p>
      <w:r>
        <w:rPr>
          <w:color w:val="374151"/>
          <w:sz w:val="22"/>
        </w:rPr>
        <w:t>Deteção de manipulação deliberada dos sistemas de rastreabilidade farm-to-fork, com alteração de registos de origem, composição ou datas de validade de produtos alimentares.</w:t>
      </w:r>
    </w:p>
    <w:p>
      <w:pPr>
        <w:pStyle w:val="ListParagraph"/>
      </w:pPr>
      <w:r>
        <w:rPr>
          <w:color w:val="374151"/>
          <w:sz w:val="22"/>
        </w:rPr>
        <w:t>Deteção: auditoria interna, alerta do sistema de integridade ou denúncia de entidade externa identifica inconsistências nos registos de rastreabilidade.</w:t>
      </w:r>
    </w:p>
    <w:p>
      <w:pPr>
        <w:pStyle w:val="ListParagraph"/>
      </w:pPr>
      <w:r>
        <w:rPr>
          <w:color w:val="374151"/>
          <w:sz w:val="22"/>
        </w:rPr>
        <w:t>Preservação de evidências: salvaguardar logs e registos originais para análise forense e eventual inquérito.</w:t>
      </w:r>
    </w:p>
    <w:p>
      <w:pPr>
        <w:pStyle w:val="ListParagraph"/>
      </w:pPr>
      <w:r>
        <w:rPr>
          <w:color w:val="374151"/>
          <w:sz w:val="22"/>
        </w:rPr>
        <w:t>Avaliação do âmbito: determinar quais lotes, produtos e registos foram adulterados e o período afetado.</w:t>
      </w:r>
    </w:p>
    <w:p>
      <w:pPr>
        <w:pStyle w:val="ListParagraph"/>
      </w:pPr>
      <w:r>
        <w:rPr>
          <w:color w:val="374151"/>
          <w:sz w:val="22"/>
        </w:rPr>
        <w:t>Suspensão preventiva: suspender a colocação no mercado de produtos cujos registos de rastreabilidade estão em causa.</w:t>
      </w:r>
    </w:p>
    <w:p>
      <w:pPr>
        <w:pStyle w:val="ListParagraph"/>
      </w:pPr>
      <w:r>
        <w:rPr>
          <w:color w:val="374151"/>
          <w:sz w:val="22"/>
        </w:rPr>
        <w:t>Notificação ASAE e DGAV: contactar as autoridades alimentares com informação detalhada sobre o incidente.</w:t>
      </w:r>
    </w:p>
    <w:p>
      <w:pPr>
        <w:pStyle w:val="ListParagraph"/>
      </w:pPr>
      <w:r>
        <w:rPr>
          <w:color w:val="374151"/>
          <w:sz w:val="22"/>
        </w:rPr>
        <w:t>Notificação CNCS e PJ: envolver a Polícia Judiciária se houver suspeita de crime informático ou fraude alimentar.</w:t>
      </w:r>
    </w:p>
    <w:p>
      <w:pPr>
        <w:pStyle w:val="ListParagraph"/>
      </w:pPr>
      <w:r>
        <w:rPr>
          <w:color w:val="374151"/>
          <w:sz w:val="22"/>
        </w:rPr>
        <w:t>Contacto DGS: alertar a Direção-Geral da Saúde se existir risco para a saúde dos consumidores.</w:t>
      </w:r>
    </w:p>
    <w:p>
      <w:pPr>
        <w:pStyle w:val="ListParagraph"/>
      </w:pPr>
      <w:r>
        <w:rPr>
          <w:color w:val="374151"/>
          <w:sz w:val="22"/>
        </w:rPr>
        <w:t>Reposição de dados íntegros: repor registos de rastreabilidade corretos com base em fontes primárias verificáveis.</w:t>
      </w:r>
    </w:p>
    <w:p>
      <w:pPr>
        <w:pStyle w:val="ListParagraph"/>
      </w:pPr>
      <w:r>
        <w:rPr>
          <w:color w:val="374151"/>
          <w:sz w:val="22"/>
        </w:rPr>
        <w:t>Reforço de controlos: implementar mecanismos de integridade adicionais nos sistemas de rastreabilidade.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operações no sector alimentar após um incidente deve garantir a segurança alimentar em toda a cadeia antes de retomar a produção e distribuição normal:</w:t>
      </w:r>
    </w:p>
    <w:p>
      <w:pPr>
        <w:pStyle w:val="ListParagraph"/>
      </w:pPr>
      <w:r>
        <w:rPr>
          <w:color w:val="374151"/>
          <w:sz w:val="22"/>
        </w:rPr>
        <w:t>Validar a integridade de todos os dados de rastreabilidade antes de retomar a colocação de produto no mercado.</w:t>
      </w:r>
    </w:p>
    <w:p>
      <w:pPr>
        <w:pStyle w:val="ListParagraph"/>
      </w:pPr>
      <w:r>
        <w:rPr>
          <w:color w:val="374151"/>
          <w:sz w:val="22"/>
        </w:rPr>
        <w:t>Confirmar a integridade dos sistemas HACCP e dos registos de pontos de controlo críticos.</w:t>
      </w:r>
    </w:p>
    <w:p>
      <w:pPr>
        <w:pStyle w:val="ListParagraph"/>
      </w:pPr>
      <w:r>
        <w:rPr>
          <w:color w:val="374151"/>
          <w:sz w:val="22"/>
        </w:rPr>
        <w:t>Verificar os dados da cadeia de frio durante o período de indisponibilidade dos sistemas digitais e avaliar o impacto em lotes armazenados.</w:t>
      </w:r>
    </w:p>
    <w:p>
      <w:pPr>
        <w:pStyle w:val="ListParagraph"/>
      </w:pPr>
      <w:r>
        <w:rPr>
          <w:color w:val="374151"/>
          <w:sz w:val="22"/>
        </w:rPr>
        <w:t>Efectuar monitorização reforçada dos sistemas de qualidade durante 72 horas após recuperação completa.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alimentar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