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bancário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O presente plano de resposta a incidentes estabelece os procedimentos operacionais para a gestão de incidentes de cibersegurança no sector bancário, em conformidade com o Decreto-Lei n.º 125/2025 (NIS2) e com os requisitos de gestão de incidentes TIC do Regulamento DORA (Art. 17.º a 23.º).</w:t>
      </w:r>
    </w:p>
    <w:p>
      <w:r>
        <w:rPr>
          <w:color w:val="374151"/>
          <w:sz w:val="22"/>
        </w:rPr>
        <w:t>O plano cobre todos os sistemas e serviços digitais da instituição, incluindo core banking, sistemas de pagamentos, canais digitais (homebanking, mobile, ATMs), APIs de Open Banking e infraestruturas de suporte às operações bancárias.</w:t>
      </w:r>
    </w:p>
    <w:p>
      <w:pPr>
        <w:pStyle w:val="Heading1"/>
      </w:pPr>
      <w:r>
        <w:rPr>
          <w:b/>
          <w:color w:val="1E3A8A"/>
          <w:sz w:val="32"/>
        </w:rPr>
        <w:t>2. Classificação de incidentes TIC (DORA)</w:t>
      </w:r>
    </w:p>
    <w:p>
      <w:r>
        <w:rPr>
          <w:color w:val="374151"/>
          <w:sz w:val="22"/>
        </w:rPr>
        <w:t>Nos termos do Art. 18.º do Regulamento DORA e das orientações da EBA/ESMA/EIOPA sobre classificação de incidentes TIC, os incidentes são classificados com base nos seguintes critérios: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Designação DORA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Critérios de impacto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Reporte obrigatório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Grave (Major)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Impacto em clientes &gt; 10% ou em operações críticas; perda financeira significativa; reputação gravemente afetada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&lt; 15 min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Banco Portugal + CNCS &lt; 4h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Significativo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Impacto operacional relevante; dados de clientes expostos; indisponibilidade de serviço &gt; 2h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&lt; 1h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Banco Portugal + CNCS &lt; 24h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Moderado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Impacto operacional limitado; vulnerabilidade explorada sem acesso a dados; anomalia de segurança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&lt; 4h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Registo interno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Menor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Sem impacto operacional; tentativa de ataque bloqueada; evento de segurança sem consequências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&lt; 24h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Registo interno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Contactos de notificação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 de notificação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 (incidentes graves)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Âmbito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Banco de Portugal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de supervisão BdP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Notificação inicial &lt; 4h; intermédio &lt; 72h; final &lt; 30 dias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TIC graves (DORA + DL 125/2025)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Cibersegurança)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alerta; &lt; 72h notificação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de cibersegurança significativos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(Polícia Judiciária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 / email unc3t@pj.pt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possível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Crimes informáticos, fraude, extorsão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CNPD (Comissão Nacional Proteção de Dados)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72h após conhecimento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Violações de dados pessoais de clientes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EBA (European Banking Authority)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Via Banco de Portugal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Conforme orientações DORA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graves com impacto sistémico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SIBS / Banco central contraparte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Contacto operacional direto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Imediato se impacto em pagamentos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em sistemas de pagamentos interbancários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Cenários de resposta detalhados</w:t>
      </w:r>
    </w:p>
    <w:p>
      <w:r>
        <w:rPr>
          <w:color w:val="374151"/>
          <w:sz w:val="22"/>
        </w:rPr>
        <w:t>Cenário 1: Fraude massiva em canais digitais</w:t>
      </w:r>
    </w:p>
    <w:p>
      <w:r>
        <w:rPr>
          <w:color w:val="374151"/>
          <w:sz w:val="22"/>
        </w:rPr>
        <w:t>Deteção de campanha de fraude em larga escala afetando múltiplos clientes através de phishing, smishing ou comprometimento de credenciais de homebanking.</w:t>
      </w:r>
    </w:p>
    <w:p>
      <w:pPr>
        <w:pStyle w:val="ListParagraph"/>
      </w:pPr>
      <w:r>
        <w:rPr>
          <w:color w:val="374151"/>
          <w:sz w:val="22"/>
        </w:rPr>
        <w:t>Deteção pelo sistema antifraude: alertas do sistema de monitorização de transações identificam padrão anómalo.</w:t>
      </w:r>
    </w:p>
    <w:p>
      <w:pPr>
        <w:pStyle w:val="ListParagraph"/>
      </w:pPr>
      <w:r>
        <w:rPr>
          <w:color w:val="374151"/>
          <w:sz w:val="22"/>
        </w:rPr>
        <w:t>Bloqueio preventivo: suspender transações suspeitas e bloquear contas potencialmente comprometidas.</w:t>
      </w:r>
    </w:p>
    <w:p>
      <w:pPr>
        <w:pStyle w:val="ListParagraph"/>
      </w:pPr>
      <w:r>
        <w:rPr>
          <w:color w:val="374151"/>
          <w:sz w:val="22"/>
        </w:rPr>
        <w:t>Ativação da equipa de resposta a fraude: envolver equipa de segurança, antifraude e operações de canais digitais.</w:t>
      </w:r>
    </w:p>
    <w:p>
      <w:pPr>
        <w:pStyle w:val="ListParagraph"/>
      </w:pPr>
      <w:r>
        <w:rPr>
          <w:color w:val="374151"/>
          <w:sz w:val="22"/>
        </w:rPr>
        <w:t>Notificação ao Banco de Portugal: comunicação de incidente de fraude significativo em menos de 24 horas.</w:t>
      </w:r>
    </w:p>
    <w:p>
      <w:pPr>
        <w:pStyle w:val="ListParagraph"/>
      </w:pPr>
      <w:r>
        <w:rPr>
          <w:color w:val="374151"/>
          <w:sz w:val="22"/>
        </w:rPr>
        <w:t>Comunicação a clientes afetados: contactar clientes com contas comprometidas para reposição de credenciais.</w:t>
      </w:r>
    </w:p>
    <w:p>
      <w:pPr>
        <w:pStyle w:val="ListParagraph"/>
      </w:pPr>
      <w:r>
        <w:rPr>
          <w:color w:val="374151"/>
          <w:sz w:val="22"/>
        </w:rPr>
        <w:t>Reembolso de clientes lesados: avaliar e processar reembolsos conforme política e obrigações legais.</w:t>
      </w:r>
    </w:p>
    <w:p>
      <w:pPr>
        <w:pStyle w:val="ListParagraph"/>
      </w:pPr>
      <w:r>
        <w:rPr>
          <w:color w:val="374151"/>
          <w:sz w:val="22"/>
        </w:rPr>
        <w:t>Partilha de IoCs com CNCS: comunicar indicadores de comprometimento para alerta ao sector financeiro.</w:t>
      </w:r>
    </w:p>
    <w:p>
      <w:pPr>
        <w:pStyle w:val="ListParagraph"/>
      </w:pPr>
      <w:r>
        <w:rPr>
          <w:color w:val="374151"/>
          <w:sz w:val="22"/>
        </w:rPr>
        <w:t>Relatório final: análise do impacto financeiro, número de clientes afetados e medidas preventivas.</w:t>
      </w:r>
    </w:p>
    <w:p/>
    <w:p>
      <w:r>
        <w:rPr>
          <w:color w:val="374151"/>
          <w:sz w:val="22"/>
        </w:rPr>
        <w:t>Cenário 2: Ransomware no core banking</w:t>
      </w:r>
    </w:p>
    <w:p>
      <w:r>
        <w:rPr>
          <w:color w:val="374151"/>
          <w:sz w:val="22"/>
        </w:rPr>
        <w:t>Ataque de ransomware que compromete o sistema central de gestão bancária, com potencial indisponibilidade de serviços e risco de perda de integridade de dados.</w:t>
      </w:r>
    </w:p>
    <w:p>
      <w:pPr>
        <w:pStyle w:val="ListParagraph"/>
      </w:pPr>
      <w:r>
        <w:rPr>
          <w:color w:val="374151"/>
          <w:sz w:val="22"/>
        </w:rPr>
        <w:t>Deteção e alerta: equipa de SOC identifica propagação de ransomware em ambiente de core banking.</w:t>
      </w:r>
    </w:p>
    <w:p>
      <w:pPr>
        <w:pStyle w:val="ListParagraph"/>
      </w:pPr>
      <w:r>
        <w:rPr>
          <w:color w:val="374151"/>
          <w:sz w:val="22"/>
        </w:rPr>
        <w:t>Isolamento de emergência: desligar conexões de rede do core banking para conter a propagação.</w:t>
      </w:r>
    </w:p>
    <w:p>
      <w:pPr>
        <w:pStyle w:val="ListParagraph"/>
      </w:pPr>
      <w:r>
        <w:rPr>
          <w:color w:val="374151"/>
          <w:sz w:val="22"/>
        </w:rPr>
        <w:t>Ativação do plano de continuidade: transição para sistemas de backup ou modo de operação degradado.</w:t>
      </w:r>
    </w:p>
    <w:p>
      <w:pPr>
        <w:pStyle w:val="ListParagraph"/>
      </w:pPr>
      <w:r>
        <w:rPr>
          <w:color w:val="374151"/>
          <w:sz w:val="22"/>
        </w:rPr>
        <w:t>Notificação urgente: Banco de Portugal, CNCS e órgão de gestão notificados nos primeiros 60 minutos.</w:t>
      </w:r>
    </w:p>
    <w:p>
      <w:pPr>
        <w:pStyle w:val="ListParagraph"/>
      </w:pPr>
      <w:r>
        <w:rPr>
          <w:color w:val="374151"/>
          <w:sz w:val="22"/>
        </w:rPr>
        <w:t>Avaliação de integridade dos dados: verificar se dados de contas foram alterados ou destruídos.</w:t>
      </w:r>
    </w:p>
    <w:p>
      <w:pPr>
        <w:pStyle w:val="ListParagraph"/>
      </w:pPr>
      <w:r>
        <w:rPr>
          <w:color w:val="374151"/>
          <w:sz w:val="22"/>
        </w:rPr>
        <w:t>Gestão da comunicação pública: preparar comunicado para clientes sobre eventual indisponibilidade.</w:t>
      </w:r>
    </w:p>
    <w:p>
      <w:pPr>
        <w:pStyle w:val="ListParagraph"/>
      </w:pPr>
      <w:r>
        <w:rPr>
          <w:color w:val="374151"/>
          <w:sz w:val="22"/>
        </w:rPr>
        <w:t>Recuperação a partir de backups: restaurar core banking a partir do ponto de recuperação mais recente íntegro.</w:t>
      </w:r>
    </w:p>
    <w:p>
      <w:pPr>
        <w:pStyle w:val="ListParagraph"/>
      </w:pPr>
      <w:r>
        <w:rPr>
          <w:color w:val="374151"/>
          <w:sz w:val="22"/>
        </w:rPr>
        <w:t>Auditoria pós-recuperação: verificar integridade de todas as transações no período do incidente.</w:t>
      </w:r>
    </w:p>
    <w:p/>
    <w:p>
      <w:r>
        <w:rPr>
          <w:color w:val="374151"/>
          <w:sz w:val="22"/>
        </w:rPr>
        <w:t>Cenário 3: Data breach de dados de clientes</w:t>
      </w:r>
    </w:p>
    <w:p>
      <w:r>
        <w:rPr>
          <w:color w:val="374151"/>
          <w:sz w:val="22"/>
        </w:rPr>
        <w:t>Exfiltração não autorizada de base de dados de clientes contendo dados pessoais, financeiros e de comportamento bancário.</w:t>
      </w:r>
    </w:p>
    <w:p>
      <w:pPr>
        <w:pStyle w:val="ListParagraph"/>
      </w:pPr>
      <w:r>
        <w:rPr>
          <w:color w:val="374151"/>
          <w:sz w:val="22"/>
        </w:rPr>
        <w:t>Deteção via DLP ou SIEM: identificação de exfiltração anómala de dados de clientes.</w:t>
      </w:r>
    </w:p>
    <w:p>
      <w:pPr>
        <w:pStyle w:val="ListParagraph"/>
      </w:pPr>
      <w:r>
        <w:rPr>
          <w:color w:val="374151"/>
          <w:sz w:val="22"/>
        </w:rPr>
        <w:t>Bloqueio imediato: bloquear canais de exfiltração e suspender credenciais comprometidas.</w:t>
      </w:r>
    </w:p>
    <w:p>
      <w:pPr>
        <w:pStyle w:val="ListParagraph"/>
      </w:pPr>
      <w:r>
        <w:rPr>
          <w:color w:val="374151"/>
          <w:sz w:val="22"/>
        </w:rPr>
        <w:t>Determinação do âmbito: identificar quais dados foram exfiltrados, quantos clientes e que categorias de dados.</w:t>
      </w:r>
    </w:p>
    <w:p>
      <w:pPr>
        <w:pStyle w:val="ListParagraph"/>
      </w:pPr>
      <w:r>
        <w:rPr>
          <w:color w:val="374151"/>
          <w:sz w:val="22"/>
        </w:rPr>
        <w:t>Notificação CNPD: violação de dados pessoais notificada à CNPD em menos de 72 horas (RGPD).</w:t>
      </w:r>
    </w:p>
    <w:p>
      <w:pPr>
        <w:pStyle w:val="ListParagraph"/>
      </w:pPr>
      <w:r>
        <w:rPr>
          <w:color w:val="374151"/>
          <w:sz w:val="22"/>
        </w:rPr>
        <w:t>Notificação ao Banco de Portugal e CNCS: incidente reportado conforme Art. 34.º DL 125/2025.</w:t>
      </w:r>
    </w:p>
    <w:p>
      <w:pPr>
        <w:pStyle w:val="ListParagraph"/>
      </w:pPr>
      <w:r>
        <w:rPr>
          <w:color w:val="374151"/>
          <w:sz w:val="22"/>
        </w:rPr>
        <w:t>Comunicação a clientes: notificar individualmente os clientes afetados com informação e recomendações.</w:t>
      </w:r>
    </w:p>
    <w:p>
      <w:pPr>
        <w:pStyle w:val="ListParagraph"/>
      </w:pPr>
      <w:r>
        <w:rPr>
          <w:color w:val="374151"/>
          <w:sz w:val="22"/>
        </w:rPr>
        <w:t>Suporte a clientes: linha de apoio especial para clientes afetados, com monitorização de uso indevido.</w:t>
      </w:r>
    </w:p>
    <w:p>
      <w:pPr>
        <w:pStyle w:val="ListParagraph"/>
      </w:pPr>
      <w:r>
        <w:rPr>
          <w:color w:val="374151"/>
          <w:sz w:val="22"/>
        </w:rPr>
        <w:t>Investigação criminal: cooperar com PJ na investigação e preservar evidências forenses.</w:t>
      </w:r>
    </w:p>
    <w:p/>
    <w:p>
      <w:r>
        <w:rPr>
          <w:color w:val="374151"/>
          <w:sz w:val="22"/>
        </w:rPr>
        <w:t>Cenário 4: Ataque a sistema de pagamentos</w:t>
      </w:r>
    </w:p>
    <w:p>
      <w:r>
        <w:rPr>
          <w:color w:val="374151"/>
          <w:sz w:val="22"/>
        </w:rPr>
        <w:t>Comprometimento de sistema de pagamentos interbancários (SIBS/MB/SWIFT) com tentativa de transferências fraudulentas ou manipulação de transações.</w:t>
      </w:r>
    </w:p>
    <w:p>
      <w:pPr>
        <w:pStyle w:val="ListParagraph"/>
      </w:pPr>
      <w:r>
        <w:rPr>
          <w:color w:val="374151"/>
          <w:sz w:val="22"/>
        </w:rPr>
        <w:t>Deteção de anomalia: sistema de monitorização SWIFT ou de pagamentos identifica mensagens ou transações suspeitas.</w:t>
      </w:r>
    </w:p>
    <w:p>
      <w:pPr>
        <w:pStyle w:val="ListParagraph"/>
      </w:pPr>
      <w:r>
        <w:rPr>
          <w:color w:val="374151"/>
          <w:sz w:val="22"/>
        </w:rPr>
        <w:t>Suspensão imediata: suspender processamento de pagamentos suspeitos e alertar bancos contraparte.</w:t>
      </w:r>
    </w:p>
    <w:p>
      <w:pPr>
        <w:pStyle w:val="ListParagraph"/>
      </w:pPr>
      <w:r>
        <w:rPr>
          <w:color w:val="374151"/>
          <w:sz w:val="22"/>
        </w:rPr>
        <w:t>Contacto com SIBS e Banco de Portugal: notificação imediata do operador de sistema de pagamentos e regulador.</w:t>
      </w:r>
    </w:p>
    <w:p>
      <w:pPr>
        <w:pStyle w:val="ListParagraph"/>
      </w:pPr>
      <w:r>
        <w:rPr>
          <w:color w:val="374151"/>
          <w:sz w:val="22"/>
        </w:rPr>
        <w:t>Revogação de credenciais comprometidas: alterar imediatamente certificados e chaves de acesso ao sistema SWIFT.</w:t>
      </w:r>
    </w:p>
    <w:p>
      <w:pPr>
        <w:pStyle w:val="ListParagraph"/>
      </w:pPr>
      <w:r>
        <w:rPr>
          <w:color w:val="374151"/>
          <w:sz w:val="22"/>
        </w:rPr>
        <w:t>Recuperação de fundos: iniciar processo de recall de transferências fraudulentas em coordenação com correspondentes.</w:t>
      </w:r>
    </w:p>
    <w:p>
      <w:pPr>
        <w:pStyle w:val="ListParagraph"/>
      </w:pPr>
      <w:r>
        <w:rPr>
          <w:color w:val="374151"/>
          <w:sz w:val="22"/>
        </w:rPr>
        <w:t>Auditoria de mensagens: rever todas as mensagens SWIFT das últimas 24-48 horas para identificar fraude adicional.</w:t>
      </w:r>
    </w:p>
    <w:p>
      <w:pPr>
        <w:pStyle w:val="ListParagraph"/>
      </w:pPr>
      <w:r>
        <w:rPr>
          <w:color w:val="374151"/>
          <w:sz w:val="22"/>
        </w:rPr>
        <w:t>Reforço de controlos: ativar dupla validação para todas as mensagens até confirmação de integridade do sistema.</w:t>
      </w:r>
    </w:p>
    <w:p>
      <w:pPr>
        <w:pStyle w:val="ListParagraph"/>
      </w:pPr>
      <w:r>
        <w:rPr>
          <w:color w:val="374151"/>
          <w:sz w:val="22"/>
        </w:rPr>
        <w:t>Relatório às autoridades: relatório detalhado ao Banco de Portugal e às autoridades policiais sobre o incidente.</w:t>
      </w:r>
    </w:p>
    <w:p/>
    <w:p>
      <w:pPr>
        <w:pStyle w:val="Heading1"/>
      </w:pPr>
      <w:r>
        <w:rPr>
          <w:b/>
          <w:color w:val="1E3A8A"/>
          <w:sz w:val="32"/>
        </w:rPr>
        <w:t>5. Gestão de comunicação de crise</w:t>
      </w:r>
    </w:p>
    <w:p>
      <w:r>
        <w:rPr>
          <w:color w:val="374151"/>
          <w:sz w:val="22"/>
        </w:rPr>
        <w:t>No sector bancário, a gestão da comunicação de crise é crítica para manter a confiança dos clientes e dos mercados. Em incidentes graves, devem ser seguidas as seguintes orientações:</w:t>
      </w:r>
    </w:p>
    <w:p>
      <w:pPr>
        <w:pStyle w:val="ListParagraph"/>
      </w:pPr>
      <w:r>
        <w:rPr>
          <w:color w:val="374151"/>
          <w:sz w:val="22"/>
        </w:rPr>
        <w:t>Comunicação interna: cascata de comunicação imediata ao órgão de administração, CRO, CISO e responsáveis de negócio afetados.</w:t>
      </w:r>
    </w:p>
    <w:p>
      <w:pPr>
        <w:pStyle w:val="ListParagraph"/>
      </w:pPr>
      <w:r>
        <w:rPr>
          <w:color w:val="374151"/>
          <w:sz w:val="22"/>
        </w:rPr>
        <w:t>Comunicação a clientes: mensagem clara, honesta e sem alarme desproporcionado sobre o impacto no serviço, através dos canais oficiais.</w:t>
      </w:r>
    </w:p>
    <w:p>
      <w:pPr>
        <w:pStyle w:val="ListParagraph"/>
      </w:pPr>
      <w:r>
        <w:rPr>
          <w:color w:val="374151"/>
          <w:sz w:val="22"/>
        </w:rPr>
        <w:t>Comunicação com media: gestão centralizada pela comunicação corporativa, com coordenação com o Banco de Portugal antes de comunicados públicos.</w:t>
      </w:r>
    </w:p>
    <w:p>
      <w:pPr>
        <w:pStyle w:val="ListParagraph"/>
      </w:pPr>
      <w:r>
        <w:rPr>
          <w:color w:val="374151"/>
          <w:sz w:val="22"/>
        </w:rPr>
        <w:t>Comunicação com investidores: em caso de impacto material, obrigações de disclosure nos termos do Regulamento sobre Abuso de Mercado (MAR).</w:t>
      </w:r>
    </w:p>
    <w:p>
      <w:pPr>
        <w:pStyle w:val="ListParagraph"/>
      </w:pPr>
      <w:r>
        <w:rPr>
          <w:color w:val="374151"/>
          <w:sz w:val="22"/>
        </w:rPr>
        <w:t>Redes sociais: monitorização contínua e resposta coordenada a rumores ou informação falsa nas redes sociais durante o incidente.</w:t>
      </w:r>
    </w:p>
    <w:p>
      <w:pPr>
        <w:pStyle w:val="Heading1"/>
      </w:pPr>
      <w:r>
        <w:rPr>
          <w:b/>
          <w:color w:val="1E3A8A"/>
          <w:sz w:val="32"/>
        </w:rPr>
        <w:t>6. Recuperação e continuidade de serviços</w:t>
      </w:r>
    </w:p>
    <w:p>
      <w:r>
        <w:rPr>
          <w:color w:val="374151"/>
          <w:sz w:val="22"/>
        </w:rPr>
        <w:t>Os objetivos de recuperação para sistemas críticos do sector bancário, em conformidade com o DORA e as expectativas do Banco de Portugal: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Sistema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RTO (Recovery Time Objective)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RPO (Recovery Point Objective)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Estratégia de recuperação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Core banking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Failover automático para datacenter secundário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Homebanking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30 minutos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CDN com failover e balanceamento de carga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Sistema de pagamentos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Ativo-ativo com sincronização em tempo real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ATM network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6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Switch para rede de backup com funcionalidade reduzida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Mobile banking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30 minutos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Failover para infraestrutura cloud secundária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SWIFT/mensageria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backup dedicada com HSM redundante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Aprovação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Chief Risk Officer (CRO)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conformidade DORA/NIS2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administração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