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Plano de resposta a incidentes NIS2 — Sector da infraestrutura digital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âmbito</w:t>
      </w:r>
    </w:p>
    <w:p>
      <w:r>
        <w:rPr>
          <w:color w:val="374151"/>
          <w:sz w:val="22"/>
        </w:rPr>
        <w:t>O presente plano de resposta a incidentes estabelece os procedimentos operacionais para deteção, contenção, erradicação e recuperação de incidentes de cibersegurança no sector da infraestrutura digital, em conformidade com o Art. 27.º alínea b) e Art. 34.º do Decreto-Lei n.º 125/2025 e com o Regulamento de Execução (UE) 2024/2690.</w:t>
      </w:r>
    </w:p>
    <w:p>
      <w:r>
        <w:rPr>
          <w:color w:val="374151"/>
          <w:sz w:val="22"/>
        </w:rPr>
        <w:t>O sector da infraestrutura digital tem características únicas na resposta a incidentes: os incidentes tendem a ter impacto em cascata sobre múltiplos clientes e setores dependentes, exigindo procedimentos de comunicação e coordenação robustos com a comunidade de operadores de rede (RIPE NCC), com a autoridade reguladora nacional (CNCS) e com os clientes afetados.</w:t>
      </w:r>
    </w:p>
    <w:p>
      <w:r>
        <w:rPr>
          <w:color w:val="374151"/>
          <w:sz w:val="22"/>
        </w:rPr>
        <w:t>Âmbito de aplicação: infraestrutura DNS, sistemas de roteamento BGP, datacenters, plataformas de cloud, CDN, IXP e todos os sistemas de gestão associados.</w:t>
      </w:r>
    </w:p>
    <w:p>
      <w:pPr>
        <w:pStyle w:val="Heading1"/>
      </w:pPr>
      <w:r>
        <w:rPr>
          <w:b/>
          <w:color w:val="1E3A8A"/>
          <w:sz w:val="32"/>
        </w:rPr>
        <w:t>2. Classificação de incidentes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Nível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Designação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Critérios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Tempo de resposta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P1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Crítico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Indisponibilidade de serviço crítico (DNS, routing) com impacto em múltiplos clientes ou setores; ataque em curso a infraestrutura de internet; BGP hijacking ativo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15 minutos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P2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Comprometimento de sistemas de gestão sem impacto imediato no serviço; incidente com potencial de propagação; exfiltração de dados de clientes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 hora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P3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Médio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Degradação de desempenho de serviço; vulnerabilidade explorada em sistema periférico; anomalia de segurança detetada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4 horas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P4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Baixo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Tentativa de acesso não autorizado bloqueada; alerta de segurança sem impacto operacional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 horas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3. Contactos de notificação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Entidade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Canal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Âmbito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CNCS (Centro Nacional de Cibersegurança)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cert@cncs.gov.pt / portal CNCS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alerta, &lt; 72h notificação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Todos os incidentes significativos de cibersegurança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RIPE NCC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hostmaster@ripe.net / abuse contact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Logo que possível em BGP/DNS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de roteamento BGP e DNS com impacto comunitário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PJ (Polícia Judiciária — UNC3T)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Linha de cibercrime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Logo que possível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suspeita de crime informático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ANACOM (Autoridade Nacional de Comunicações)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ANACOM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Conforme regulamento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impacto em redes de comunicações eletrónicas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CNPD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CNPD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72h se dados pessoais afetados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violação de dados pessoais de utilizadores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Clientes afetados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Canal de comunicação contratual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O mais rapidamente possível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Todos os incidentes com impacto em serviços de clientes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Cenários de resposta detalhados</w:t>
      </w:r>
    </w:p>
    <w:p>
      <w:r>
        <w:rPr>
          <w:color w:val="374151"/>
          <w:sz w:val="22"/>
        </w:rPr>
        <w:t>Cenário 1: DDoS em infraestrutura DNS</w:t>
      </w:r>
    </w:p>
    <w:p>
      <w:r>
        <w:rPr>
          <w:color w:val="374151"/>
          <w:sz w:val="22"/>
        </w:rPr>
        <w:t>Ataque de negação de serviço volumétrico ou por exaustão de recursos contra servidores DNS críticos, causando falha de resolução de nomes com impacto em múltiplos serviços dependentes.</w:t>
      </w:r>
    </w:p>
    <w:p>
      <w:pPr>
        <w:pStyle w:val="ListParagraph"/>
      </w:pPr>
      <w:r>
        <w:rPr>
          <w:color w:val="374151"/>
          <w:sz w:val="22"/>
        </w:rPr>
        <w:t>Deteção: NOC ou sistemas de monitorização identificam aumento anómalo de tráfego DNS ou falhas de resolução.</w:t>
      </w:r>
    </w:p>
    <w:p>
      <w:pPr>
        <w:pStyle w:val="ListParagraph"/>
      </w:pPr>
      <w:r>
        <w:rPr>
          <w:color w:val="374151"/>
          <w:sz w:val="22"/>
        </w:rPr>
        <w:t>Activação de mitigação anti-DDoS: activar scrubbing centers e filtros de tráfego. Redirecionar tráfego via Anycast.</w:t>
      </w:r>
    </w:p>
    <w:p>
      <w:pPr>
        <w:pStyle w:val="ListParagraph"/>
      </w:pPr>
      <w:r>
        <w:rPr>
          <w:color w:val="374151"/>
          <w:sz w:val="22"/>
        </w:rPr>
        <w:t>Avaliação de impacto: determinar serviços afetados, clientes impactados e volume de tráfego de ataque.</w:t>
      </w:r>
    </w:p>
    <w:p>
      <w:pPr>
        <w:pStyle w:val="ListParagraph"/>
      </w:pPr>
      <w:r>
        <w:rPr>
          <w:color w:val="374151"/>
          <w:sz w:val="22"/>
        </w:rPr>
        <w:t>Notificação interna: alertar NOC, gestão de rede e CISO nos primeiros 15 minutos.</w:t>
      </w:r>
    </w:p>
    <w:p>
      <w:pPr>
        <w:pStyle w:val="ListParagraph"/>
      </w:pPr>
      <w:r>
        <w:rPr>
          <w:color w:val="374151"/>
          <w:sz w:val="22"/>
        </w:rPr>
        <w:t>Notificação CNCS: notificação inicial em menos de 24 horas conforme Art. 34.º do DL 125/2025.</w:t>
      </w:r>
    </w:p>
    <w:p>
      <w:pPr>
        <w:pStyle w:val="ListParagraph"/>
      </w:pPr>
      <w:r>
        <w:rPr>
          <w:color w:val="374151"/>
          <w:sz w:val="22"/>
        </w:rPr>
        <w:t>Coordenação com RIPE NCC: partilhar informação sobre o ataque com RIPE NCC para coordenação comunitária.</w:t>
      </w:r>
    </w:p>
    <w:p>
      <w:pPr>
        <w:pStyle w:val="ListParagraph"/>
      </w:pPr>
      <w:r>
        <w:rPr>
          <w:color w:val="374151"/>
          <w:sz w:val="22"/>
        </w:rPr>
        <w:t>Comunicação com clientes: informar clientes afetados sobre o incidente e medidas de mitigação em curso.</w:t>
      </w:r>
    </w:p>
    <w:p>
      <w:pPr>
        <w:pStyle w:val="ListParagraph"/>
      </w:pPr>
      <w:r>
        <w:rPr>
          <w:color w:val="374151"/>
          <w:sz w:val="22"/>
        </w:rPr>
        <w:t>Análise pós-ataque: identificar vetores de amplificação, atualizar filtros e reforçar capacidade de mitigação.</w:t>
      </w:r>
    </w:p>
    <w:p/>
    <w:p>
      <w:r>
        <w:rPr>
          <w:color w:val="374151"/>
          <w:sz w:val="22"/>
        </w:rPr>
        <w:t>Cenário 2: BGP hijacking</w:t>
      </w:r>
    </w:p>
    <w:p>
      <w:r>
        <w:rPr>
          <w:color w:val="374151"/>
          <w:sz w:val="22"/>
        </w:rPr>
        <w:t>Sequestro de prefixos de roteamento BGP por um AS malicioso ou comprometido, causando desvio ou intercetação de tráfego de clientes ou da própria infraestrutura.</w:t>
      </w:r>
    </w:p>
    <w:p>
      <w:pPr>
        <w:pStyle w:val="ListParagraph"/>
      </w:pPr>
      <w:r>
        <w:rPr>
          <w:color w:val="374151"/>
          <w:sz w:val="22"/>
        </w:rPr>
        <w:t>Deteção: sistemas de monitorização BGP ou alertas de RIPE NCC/BGPmon identificam anúncio não autorizado de prefixos.</w:t>
      </w:r>
    </w:p>
    <w:p>
      <w:pPr>
        <w:pStyle w:val="ListParagraph"/>
      </w:pPr>
      <w:r>
        <w:rPr>
          <w:color w:val="374151"/>
          <w:sz w:val="22"/>
        </w:rPr>
        <w:t>Verificação: confirmar o hijacking via ferramentas de looking glass e validar prefixos afetados.</w:t>
      </w:r>
    </w:p>
    <w:p>
      <w:pPr>
        <w:pStyle w:val="ListParagraph"/>
      </w:pPr>
      <w:r>
        <w:rPr>
          <w:color w:val="374151"/>
          <w:sz w:val="22"/>
        </w:rPr>
        <w:t>Contacto com AS malicioso: contactar o AS origem do anúncio inválido para remoção imediata.</w:t>
      </w:r>
    </w:p>
    <w:p>
      <w:pPr>
        <w:pStyle w:val="ListParagraph"/>
      </w:pPr>
      <w:r>
        <w:rPr>
          <w:color w:val="374151"/>
          <w:sz w:val="22"/>
        </w:rPr>
        <w:t>Activação de RPKI: se não implementado, priorizar implementação de Route Origin Validation via RPKI.</w:t>
      </w:r>
    </w:p>
    <w:p>
      <w:pPr>
        <w:pStyle w:val="ListParagraph"/>
      </w:pPr>
      <w:r>
        <w:rPr>
          <w:color w:val="374151"/>
          <w:sz w:val="22"/>
        </w:rPr>
        <w:t>Notificação CNCS e RIPE NCC: notificar incidente ao CNCS e à comunidade RIPE NCC para apoio.</w:t>
      </w:r>
    </w:p>
    <w:p>
      <w:pPr>
        <w:pStyle w:val="ListParagraph"/>
      </w:pPr>
      <w:r>
        <w:rPr>
          <w:color w:val="374151"/>
          <w:sz w:val="22"/>
        </w:rPr>
        <w:t>Contacto com upstream providers: solicitar filtros nos upstream providers para bloquear anúncios inválidos.</w:t>
      </w:r>
    </w:p>
    <w:p>
      <w:pPr>
        <w:pStyle w:val="ListParagraph"/>
      </w:pPr>
      <w:r>
        <w:rPr>
          <w:color w:val="374151"/>
          <w:sz w:val="22"/>
        </w:rPr>
        <w:t>Monitorização de tráfego: verificar se houve intercetação de tráfego e avaliar impacto em dados de clientes.</w:t>
      </w:r>
    </w:p>
    <w:p>
      <w:pPr>
        <w:pStyle w:val="ListParagraph"/>
      </w:pPr>
      <w:r>
        <w:rPr>
          <w:color w:val="374151"/>
          <w:sz w:val="22"/>
        </w:rPr>
        <w:t>Relatório pós-incidente: documentar o incidente e implementar medidas de prevenção adicionais.</w:t>
      </w:r>
    </w:p>
    <w:p/>
    <w:p>
      <w:r>
        <w:rPr>
          <w:color w:val="374151"/>
          <w:sz w:val="22"/>
        </w:rPr>
        <w:t>Cenário 3: Falha total de datacenter</w:t>
      </w:r>
    </w:p>
    <w:p>
      <w:r>
        <w:rPr>
          <w:color w:val="374151"/>
          <w:sz w:val="22"/>
        </w:rPr>
        <w:t>Falha catastrófica de um datacenter por ataque cibernético que compromete sistemas de gestão, alimentação ou refrigeração, causando indisponibilidade prolongada de serviços críticos alojados.</w:t>
      </w:r>
    </w:p>
    <w:p>
      <w:pPr>
        <w:pStyle w:val="ListParagraph"/>
      </w:pPr>
      <w:r>
        <w:rPr>
          <w:color w:val="374151"/>
          <w:sz w:val="22"/>
        </w:rPr>
        <w:t>Deteção: sistemas de monitorização identificam indisponibilidade massiva de serviços no datacenter afetado.</w:t>
      </w:r>
    </w:p>
    <w:p>
      <w:pPr>
        <w:pStyle w:val="ListParagraph"/>
      </w:pPr>
      <w:r>
        <w:rPr>
          <w:color w:val="374151"/>
          <w:sz w:val="22"/>
        </w:rPr>
        <w:t>Activação de DR: activar plano de recuperação de desastre e iniciar failover para datacenter secundário.</w:t>
      </w:r>
    </w:p>
    <w:p>
      <w:pPr>
        <w:pStyle w:val="ListParagraph"/>
      </w:pPr>
      <w:r>
        <w:rPr>
          <w:color w:val="374151"/>
          <w:sz w:val="22"/>
        </w:rPr>
        <w:t>Priorização de serviços: restaurar primeiro os serviços mais críticos conforme classificação de BIA.</w:t>
      </w:r>
    </w:p>
    <w:p>
      <w:pPr>
        <w:pStyle w:val="ListParagraph"/>
      </w:pPr>
      <w:r>
        <w:rPr>
          <w:color w:val="374151"/>
          <w:sz w:val="22"/>
        </w:rPr>
        <w:t>Notificação de clientes: comunicar aos clientes afetados o incidente, impacto estimado e prazo de recuperação.</w:t>
      </w:r>
    </w:p>
    <w:p>
      <w:pPr>
        <w:pStyle w:val="ListParagraph"/>
      </w:pPr>
      <w:r>
        <w:rPr>
          <w:color w:val="374151"/>
          <w:sz w:val="22"/>
        </w:rPr>
        <w:t>Notificação CNCS: notificar incidente significativo ao CNCS em menos de 24 horas.</w:t>
      </w:r>
    </w:p>
    <w:p>
      <w:pPr>
        <w:pStyle w:val="ListParagraph"/>
      </w:pPr>
      <w:r>
        <w:rPr>
          <w:color w:val="374151"/>
          <w:sz w:val="22"/>
        </w:rPr>
        <w:t>Investigação: determinar se a falha é de origem cibernética e preservar evidências para análise forense.</w:t>
      </w:r>
    </w:p>
    <w:p>
      <w:pPr>
        <w:pStyle w:val="ListParagraph"/>
      </w:pPr>
      <w:r>
        <w:rPr>
          <w:color w:val="374151"/>
          <w:sz w:val="22"/>
        </w:rPr>
        <w:t>Coordenação com ANACOM: se o incidente afetar redes de comunicações eletrónicas, notificar a ANACOM.</w:t>
      </w:r>
    </w:p>
    <w:p>
      <w:pPr>
        <w:pStyle w:val="ListParagraph"/>
      </w:pPr>
      <w:r>
        <w:rPr>
          <w:color w:val="374151"/>
          <w:sz w:val="22"/>
        </w:rPr>
        <w:t>Análise e reforço: após recuperação, rever plano de DR, testar procedimentos e reforçar controlos de segurança.</w:t>
      </w:r>
    </w:p>
    <w:p/>
    <w:p>
      <w:r>
        <w:rPr>
          <w:color w:val="374151"/>
          <w:sz w:val="22"/>
        </w:rPr>
        <w:t>Cenário 4: Comprometimento de CDN</w:t>
      </w:r>
    </w:p>
    <w:p>
      <w:r>
        <w:rPr>
          <w:color w:val="374151"/>
          <w:sz w:val="22"/>
        </w:rPr>
        <w:t>Comprometimento da infraestrutura de Content Delivery Network com injeção de conteúdo malicioso (scripts, ficheiros) servido através dos servidores CDN a utilizadores de múltiplos clientes.</w:t>
      </w:r>
    </w:p>
    <w:p>
      <w:pPr>
        <w:pStyle w:val="ListParagraph"/>
      </w:pPr>
      <w:r>
        <w:rPr>
          <w:color w:val="374151"/>
          <w:sz w:val="22"/>
        </w:rPr>
        <w:t>Deteção: alertas de integridade de conteúdo, relatos de clientes ou sistemas de monitorização identificam conteúdo suspeito.</w:t>
      </w:r>
    </w:p>
    <w:p>
      <w:pPr>
        <w:pStyle w:val="ListParagraph"/>
      </w:pPr>
      <w:r>
        <w:rPr>
          <w:color w:val="374151"/>
          <w:sz w:val="22"/>
        </w:rPr>
        <w:t>Isolamento: suspender temporariamente o serving de conteúdo dos nós CDN comprometidos.</w:t>
      </w:r>
    </w:p>
    <w:p>
      <w:pPr>
        <w:pStyle w:val="ListParagraph"/>
      </w:pPr>
      <w:r>
        <w:rPr>
          <w:color w:val="374151"/>
          <w:sz w:val="22"/>
        </w:rPr>
        <w:t>Identificação do conteúdo malicioso: determinar quais ficheiros foram comprometidos e desde quando.</w:t>
      </w:r>
    </w:p>
    <w:p>
      <w:pPr>
        <w:pStyle w:val="ListParagraph"/>
      </w:pPr>
      <w:r>
        <w:rPr>
          <w:color w:val="374151"/>
          <w:sz w:val="22"/>
        </w:rPr>
        <w:t>Notificação de clientes afetados: alertar todos os clientes cujo conteúdo foi servido pelos nós comprometidos.</w:t>
      </w:r>
    </w:p>
    <w:p>
      <w:pPr>
        <w:pStyle w:val="ListParagraph"/>
      </w:pPr>
      <w:r>
        <w:rPr>
          <w:color w:val="374151"/>
          <w:sz w:val="22"/>
        </w:rPr>
        <w:t>Purge de cache: limpar caches de todos os nós CDN para remover conteúdo comprometido.</w:t>
      </w:r>
    </w:p>
    <w:p>
      <w:pPr>
        <w:pStyle w:val="ListParagraph"/>
      </w:pPr>
      <w:r>
        <w:rPr>
          <w:color w:val="374151"/>
          <w:sz w:val="22"/>
        </w:rPr>
        <w:t>Notificação CNCS: notificar incidente ao CNCS em menos de 24 horas. Avaliar notificação à PJ.</w:t>
      </w:r>
    </w:p>
    <w:p>
      <w:pPr>
        <w:pStyle w:val="ListParagraph"/>
      </w:pPr>
      <w:r>
        <w:rPr>
          <w:color w:val="374151"/>
          <w:sz w:val="22"/>
        </w:rPr>
        <w:t>Análise forense: investigar o vetor de comprometimento e rever controlos de integridade de conteúdo.</w:t>
      </w:r>
    </w:p>
    <w:p>
      <w:pPr>
        <w:pStyle w:val="ListParagraph"/>
      </w:pPr>
      <w:r>
        <w:rPr>
          <w:color w:val="374151"/>
          <w:sz w:val="22"/>
        </w:rPr>
        <w:t>Implementação de controlos: reforçar subresource integrity (SRI), assinatura de conteúdo e monitorização.</w:t>
      </w:r>
    </w:p>
    <w:p/>
    <w:p>
      <w:pPr>
        <w:pStyle w:val="Heading1"/>
      </w:pPr>
      <w:r>
        <w:rPr>
          <w:b/>
          <w:color w:val="1E3A8A"/>
          <w:sz w:val="32"/>
        </w:rPr>
        <w:t>5. Comunicação e coordenação comunitária</w:t>
      </w:r>
    </w:p>
    <w:p>
      <w:r>
        <w:rPr>
          <w:color w:val="374151"/>
          <w:sz w:val="22"/>
        </w:rPr>
        <w:t>Os incidentes na infraestrutura digital frequentemente requerem coordenação com a comunidade técnica de operadores de internet, beyond da notificação regulatória obrigatória:</w:t>
      </w:r>
    </w:p>
    <w:p>
      <w:pPr>
        <w:pStyle w:val="ListParagraph"/>
      </w:pPr>
      <w:r>
        <w:rPr>
          <w:color w:val="374151"/>
          <w:sz w:val="22"/>
        </w:rPr>
        <w:t>RIPE NCC: para incidentes de BGP hijacking ou falhas DNS com impacto regional, coordenar com o RIPE NCC para disseminação de informação e apoio da comunidade de operadores.</w:t>
      </w:r>
    </w:p>
    <w:p>
      <w:pPr>
        <w:pStyle w:val="ListParagraph"/>
      </w:pPr>
      <w:r>
        <w:rPr>
          <w:color w:val="374151"/>
          <w:sz w:val="22"/>
        </w:rPr>
        <w:t>FIRST (Forum of Incident Response and Security Teams): para incidentes com impacto transfronteiriço, activar contactos no FIRST para coordenação com CSIRT internacionais.</w:t>
      </w:r>
    </w:p>
    <w:p>
      <w:pPr>
        <w:pStyle w:val="ListParagraph"/>
      </w:pPr>
      <w:r>
        <w:rPr>
          <w:color w:val="374151"/>
          <w:sz w:val="22"/>
        </w:rPr>
        <w:t>TF-CSIRT e ENISA: para incidentes de nível europeu, coordenar com a rede TF-CSIRT e notificar a ENISA conforme requerido pelo DL 125/2025.</w:t>
      </w:r>
    </w:p>
    <w:p>
      <w:pPr>
        <w:pStyle w:val="ListParagraph"/>
      </w:pPr>
      <w:r>
        <w:rPr>
          <w:color w:val="374151"/>
          <w:sz w:val="22"/>
        </w:rPr>
        <w:t>Operadores de IXP: em incidentes que afetam o peering, contactar diretamente os operadores de IXP relevantes (ex. GigaPIX em Portugal) para coordenação.</w:t>
      </w:r>
    </w:p>
    <w:p>
      <w:pPr>
        <w:pStyle w:val="Heading1"/>
      </w:pPr>
      <w:r>
        <w:rPr>
          <w:b/>
          <w:color w:val="1E3A8A"/>
          <w:sz w:val="32"/>
        </w:rPr>
        <w:t>6. Aprovação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Responsável de segurança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Diretor de operações de rede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conformidade regulatória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Órgão de gestão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