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Plano de resposta a incidentes NIS2 — Sector dos produtos químicos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O presente plano de resposta a incidentes (IRP) estabelece os procedimentos para deteção, contenção, erradicação e recuperação de incidentes de cibersegurança no sector dos produtos químicos, em conformidade com o Art. 27.º alínea b) e Art. 34.º do DL 125/2025.</w:t>
      </w:r>
    </w:p>
    <w:p>
      <w:r>
        <w:rPr>
          <w:color w:val="374151"/>
          <w:sz w:val="22"/>
        </w:rPr>
        <w:t>O plano aplica-se a todos os sistemas de controlo de processo (DCS), sistemas instrumentados de segurança (SIS), redes OT, sistemas de monitorização ambiental e sistemas de gestão de instalações de produção química, incluindo instalações classificadas nos termos da Diretiva Seveso III.</w:t>
      </w:r>
    </w:p>
    <w:p>
      <w:pPr>
        <w:pStyle w:val="Heading1"/>
      </w:pPr>
      <w:r>
        <w:rPr>
          <w:b/>
          <w:color w:val="1E3A8A"/>
          <w:sz w:val="32"/>
        </w:rPr>
        <w:t>2. Classificação de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Nível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Designação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Critérios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Tempo de resposta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P1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Crítico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DCS ou SIS comprometidos com risco de acidente de processo; sabotagem em instalação Seveso; parâmetros de segurança manipulados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15 minutos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Acesso não autorizado a sistemas de controlo sem impacto imediato; exfiltração de PI em curso; ransomware em rede corporativa com risco de propagação OT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P3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Médio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Comprometimento de credenciais de acesso a sistemas; anomalia de segurança detetada; tentativa de acesso a sistemas SIS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P4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Baixo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Alerta de segurança sem impacto confirmado; scan de rede detetado; violação de política de acesso menor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 horas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Equipa de resposta a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Responsabilidades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Contacto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Disponibilidade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 Commander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Coordenação geral, decisões de escalada, comunicação com gestão e autoridades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Especialista DCS/SIS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Análise de sistemas de controlo, avaliação de impacto no processo, contenção em OT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segurança de processo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Avaliação de risco industrial, decisão de paragem segura, coordenação com operações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Analista de segurança IT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Análise forense, investigação de vetores de ataque, correlação SIEM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On-call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jurídico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Notificação regulatória, gestão de PI, coordenação com autoridades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On-call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Contactos de notificação obrigatória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Entidade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Canal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Tipo de incidente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IGAMAOT (Inspeção-Geral do Ambiente)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Email / linha de emergência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(notificação)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potencial impacto ambiental ou de segurança de processo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CNCS (Centro Nacional de Cibersegurança)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cert@cncs.gov.pt / portal CNCS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(notificação)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Todos os incidentes de cibersegurança significativos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PJ (Polícia Judiciária — UNC3T)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cibercrime / email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possível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Suspeita de crime informático, sabotagem ou espionagem industrial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ANPC (Proteção Civil)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emergência 112 / contacto direto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Imediato se risco de acidente Seveso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risco de acidente grave em instalação Seveso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APA (Agência Portuguesa do Ambiente)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APA / email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Imediato se libertação de substâncias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impacto ambiental confirmado ou potencial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72h se dados pessoais afetados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Violação de dados pessoais de colaboradores ou clientes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5. Cenários de resposta detalhados</w:t>
      </w:r>
    </w:p>
    <w:p>
      <w:r>
        <w:rPr>
          <w:color w:val="374151"/>
          <w:sz w:val="22"/>
        </w:rPr>
        <w:t>Cenário 1: Sabotagem de processo industrial via DCS</w:t>
      </w:r>
    </w:p>
    <w:p>
      <w:r>
        <w:rPr>
          <w:color w:val="374151"/>
          <w:sz w:val="22"/>
        </w:rPr>
        <w:t>Acesso não autorizado ao sistema de controlo distribuído (DCS) com manipulação deliberada de parâmetros de processo químico, criando risco de incidente industrial.</w:t>
      </w:r>
    </w:p>
    <w:p>
      <w:pPr>
        <w:pStyle w:val="ListParagraph"/>
      </w:pPr>
      <w:r>
        <w:rPr>
          <w:color w:val="374151"/>
          <w:sz w:val="22"/>
        </w:rPr>
        <w:t>Deteção: sistema de monitorização de integridade ou operador deteta parâmetros de processo fora dos limites operacionais.</w:t>
      </w:r>
    </w:p>
    <w:p>
      <w:pPr>
        <w:pStyle w:val="ListParagraph"/>
      </w:pPr>
      <w:r>
        <w:rPr>
          <w:color w:val="374151"/>
          <w:sz w:val="22"/>
        </w:rPr>
        <w:t>Paragem de segurança: activar procedimento de paragem segura (safe shutdown) da instalação afetada.</w:t>
      </w:r>
    </w:p>
    <w:p>
      <w:pPr>
        <w:pStyle w:val="ListParagraph"/>
      </w:pPr>
      <w:r>
        <w:rPr>
          <w:color w:val="374151"/>
          <w:sz w:val="22"/>
        </w:rPr>
        <w:t>Isolamento do DCS: desligar o sistema DCS comprometido da rede e activar modo manual de operação.</w:t>
      </w:r>
    </w:p>
    <w:p>
      <w:pPr>
        <w:pStyle w:val="ListParagraph"/>
      </w:pPr>
      <w:r>
        <w:rPr>
          <w:color w:val="374151"/>
          <w:sz w:val="22"/>
        </w:rPr>
        <w:t>Avaliação de segurança: verificar se os sistemas SIS (segurança instrumentada) foram afetados.</w:t>
      </w:r>
    </w:p>
    <w:p>
      <w:pPr>
        <w:pStyle w:val="ListParagraph"/>
      </w:pPr>
      <w:r>
        <w:rPr>
          <w:color w:val="374151"/>
          <w:sz w:val="22"/>
        </w:rPr>
        <w:t>Notificação interna: alertar CISO, diretor de operações, responsável de segurança industrial nos primeiros 30 minutos.</w:t>
      </w:r>
    </w:p>
    <w:p>
      <w:pPr>
        <w:pStyle w:val="ListParagraph"/>
      </w:pPr>
      <w:r>
        <w:rPr>
          <w:color w:val="374151"/>
          <w:sz w:val="22"/>
        </w:rPr>
        <w:t>Notificação IGAMAOT e CNCS: alerta inicial em menos de 24 horas conforme Art. 34.º DL 125/2025.</w:t>
      </w:r>
    </w:p>
    <w:p>
      <w:pPr>
        <w:pStyle w:val="ListParagraph"/>
      </w:pPr>
      <w:r>
        <w:rPr>
          <w:color w:val="374151"/>
          <w:sz w:val="22"/>
        </w:rPr>
        <w:t>Contacto ANPC: informar a Autoridade Nacional de Emergência e Proteção Civil se houver risco de acidente industrial.</w:t>
      </w:r>
    </w:p>
    <w:p>
      <w:pPr>
        <w:pStyle w:val="ListParagraph"/>
      </w:pPr>
      <w:r>
        <w:rPr>
          <w:color w:val="374151"/>
          <w:sz w:val="22"/>
        </w:rPr>
        <w:t>Análise forense: preservar logs do DCS e sistemas de segurança para investigação.</w:t>
      </w:r>
    </w:p>
    <w:p>
      <w:pPr>
        <w:pStyle w:val="ListParagraph"/>
      </w:pPr>
      <w:r>
        <w:rPr>
          <w:color w:val="374151"/>
          <w:sz w:val="22"/>
        </w:rPr>
        <w:t>Relatório pós-incidente: relatório final em 30 dias com análise de causa raiz e medidas preventivas.</w:t>
      </w:r>
    </w:p>
    <w:p/>
    <w:p>
      <w:r>
        <w:rPr>
          <w:color w:val="374151"/>
          <w:sz w:val="22"/>
        </w:rPr>
        <w:t>Cenário 2: Ransomware em instalação de produção química</w:t>
      </w:r>
    </w:p>
    <w:p>
      <w:r>
        <w:rPr>
          <w:color w:val="374151"/>
          <w:sz w:val="22"/>
        </w:rPr>
        <w:t>Ataque de ransomware que cifra sistemas de controlo e gestão de uma instalação de produção química, comprometendo a operação e a segurança do processo.</w:t>
      </w:r>
    </w:p>
    <w:p>
      <w:pPr>
        <w:pStyle w:val="ListParagraph"/>
      </w:pPr>
      <w:r>
        <w:rPr>
          <w:color w:val="374151"/>
          <w:sz w:val="22"/>
        </w:rPr>
        <w:t>Deteção: alerta do sistema de segurança ou operador identifica ficheiros cifrados ou sistemas inoperacionais.</w:t>
      </w:r>
    </w:p>
    <w:p>
      <w:pPr>
        <w:pStyle w:val="ListParagraph"/>
      </w:pPr>
      <w:r>
        <w:rPr>
          <w:color w:val="374151"/>
          <w:sz w:val="22"/>
        </w:rPr>
        <w:t>Paragem controlada: iniciar procedimento de paragem segura da instalação antes de isolar sistemas.</w:t>
      </w:r>
    </w:p>
    <w:p>
      <w:pPr>
        <w:pStyle w:val="ListParagraph"/>
      </w:pPr>
      <w:r>
        <w:rPr>
          <w:color w:val="374151"/>
          <w:sz w:val="22"/>
        </w:rPr>
        <w:t>Isolamento de rede: desconectar todos os sistemas afetados da rede corporativa e da rede OT.</w:t>
      </w:r>
    </w:p>
    <w:p>
      <w:pPr>
        <w:pStyle w:val="ListParagraph"/>
      </w:pPr>
      <w:r>
        <w:rPr>
          <w:color w:val="374151"/>
          <w:sz w:val="22"/>
        </w:rPr>
        <w:t>Avaliação de impacto: determinar quais sistemas de controlo foram afetados e o risco para o processo.</w:t>
      </w:r>
    </w:p>
    <w:p>
      <w:pPr>
        <w:pStyle w:val="ListParagraph"/>
      </w:pPr>
      <w:r>
        <w:rPr>
          <w:color w:val="374151"/>
          <w:sz w:val="22"/>
        </w:rPr>
        <w:t>Notificação IGAMAOT e CNCS: alerta inicial em menos de 24 horas (Art. 34.º DL 125/2025).</w:t>
      </w:r>
    </w:p>
    <w:p>
      <w:pPr>
        <w:pStyle w:val="ListParagraph"/>
      </w:pPr>
      <w:r>
        <w:rPr>
          <w:color w:val="374151"/>
          <w:sz w:val="22"/>
        </w:rPr>
        <w:t>Contacto PJ: reportar o incidente à Polícia Judiciária para investigação criminal.</w:t>
      </w:r>
    </w:p>
    <w:p>
      <w:pPr>
        <w:pStyle w:val="ListParagraph"/>
      </w:pPr>
      <w:r>
        <w:rPr>
          <w:color w:val="374151"/>
          <w:sz w:val="22"/>
        </w:rPr>
        <w:t>Contacto APA: notificar se houver risco de impacto ambiental associado à paragem de instalação Seveso.</w:t>
      </w:r>
    </w:p>
    <w:p>
      <w:pPr>
        <w:pStyle w:val="ListParagraph"/>
      </w:pPr>
      <w:r>
        <w:rPr>
          <w:color w:val="374151"/>
          <w:sz w:val="22"/>
        </w:rPr>
        <w:t>Recuperação controlada: restaurar sistemas a partir de backups testados, validando parâmetros de segurança.</w:t>
      </w:r>
    </w:p>
    <w:p>
      <w:pPr>
        <w:pStyle w:val="ListParagraph"/>
      </w:pPr>
      <w:r>
        <w:rPr>
          <w:color w:val="374151"/>
          <w:sz w:val="22"/>
        </w:rPr>
        <w:t>Relatório final: relatório detalhado em 30 dias com análise de impacto e plano de prevenção.</w:t>
      </w:r>
    </w:p>
    <w:p/>
    <w:p>
      <w:r>
        <w:rPr>
          <w:color w:val="374151"/>
          <w:sz w:val="22"/>
        </w:rPr>
        <w:t>Cenário 3: Roubo de propriedade intelectual</w:t>
      </w:r>
    </w:p>
    <w:p>
      <w:r>
        <w:rPr>
          <w:color w:val="374151"/>
          <w:sz w:val="22"/>
        </w:rPr>
        <w:t>Exfiltração não autorizada de fórmulas químicas, processos de produção ou outros ativos de propriedade intelectual sensíveis.</w:t>
      </w:r>
    </w:p>
    <w:p>
      <w:pPr>
        <w:pStyle w:val="ListParagraph"/>
      </w:pPr>
      <w:r>
        <w:rPr>
          <w:color w:val="374151"/>
          <w:sz w:val="22"/>
        </w:rPr>
        <w:t>Deteção: sistema DLP ou SIEM identifica transferência anómala de ficheiros de elevada sensibilidade.</w:t>
      </w:r>
    </w:p>
    <w:p>
      <w:pPr>
        <w:pStyle w:val="ListParagraph"/>
      </w:pPr>
      <w:r>
        <w:rPr>
          <w:color w:val="374151"/>
          <w:sz w:val="22"/>
        </w:rPr>
        <w:t>Bloqueio imediato: bloquear conexões suspeitas e suspender contas potencialmente comprometidas.</w:t>
      </w:r>
    </w:p>
    <w:p>
      <w:pPr>
        <w:pStyle w:val="ListParagraph"/>
      </w:pPr>
      <w:r>
        <w:rPr>
          <w:color w:val="374151"/>
          <w:sz w:val="22"/>
        </w:rPr>
        <w:t>Classificação dos dados: determinar quais ativos de PI foram acedidos ou exfiltrados.</w:t>
      </w:r>
    </w:p>
    <w:p>
      <w:pPr>
        <w:pStyle w:val="ListParagraph"/>
      </w:pPr>
      <w:r>
        <w:rPr>
          <w:color w:val="374151"/>
          <w:sz w:val="22"/>
        </w:rPr>
        <w:t>Notificação CNCS e PJ: envolver a Polícia Judiciária (UNC3T) para investigação de espionagem industrial.</w:t>
      </w:r>
    </w:p>
    <w:p>
      <w:pPr>
        <w:pStyle w:val="ListParagraph"/>
      </w:pPr>
      <w:r>
        <w:rPr>
          <w:color w:val="374151"/>
          <w:sz w:val="22"/>
        </w:rPr>
        <w:t>Avaliação de impacto comercial e competitivo: estimar o valor e a sensibilidade dos dados exfiltrados.</w:t>
      </w:r>
    </w:p>
    <w:p>
      <w:pPr>
        <w:pStyle w:val="ListParagraph"/>
      </w:pPr>
      <w:r>
        <w:rPr>
          <w:color w:val="374151"/>
          <w:sz w:val="22"/>
        </w:rPr>
        <w:t>Medidas de contenção: revogar acessos, alterar credenciais, reforçar controlos de DRM.</w:t>
      </w:r>
    </w:p>
    <w:p>
      <w:pPr>
        <w:pStyle w:val="ListParagraph"/>
      </w:pPr>
      <w:r>
        <w:rPr>
          <w:color w:val="374151"/>
          <w:sz w:val="22"/>
        </w:rPr>
        <w:t>Notificação CNPD: avaliar se dados pessoais foram afetados e notificar se aplicável.</w:t>
      </w:r>
    </w:p>
    <w:p>
      <w:pPr>
        <w:pStyle w:val="ListParagraph"/>
      </w:pPr>
      <w:r>
        <w:rPr>
          <w:color w:val="374151"/>
          <w:sz w:val="22"/>
        </w:rPr>
        <w:t>Relatório jurídico: documentar o incidente para eventual ação legal contra responsáveis.</w:t>
      </w:r>
    </w:p>
    <w:p/>
    <w:p>
      <w:pPr>
        <w:pStyle w:val="Heading1"/>
      </w:pPr>
      <w:r>
        <w:rPr>
          <w:b/>
          <w:color w:val="1E3A8A"/>
          <w:sz w:val="32"/>
        </w:rPr>
        <w:t>6. Recuperação e continuidade</w:t>
      </w:r>
    </w:p>
    <w:p>
      <w:r>
        <w:rPr>
          <w:color w:val="374151"/>
          <w:sz w:val="22"/>
        </w:rPr>
        <w:t>A recuperação de sistemas de controlo em instalações químicas após um incidente deve seguir procedimentos específicos que priorizam a segurança de processo:</w:t>
      </w:r>
    </w:p>
    <w:p>
      <w:pPr>
        <w:pStyle w:val="ListParagraph"/>
      </w:pPr>
      <w:r>
        <w:rPr>
          <w:color w:val="374151"/>
          <w:sz w:val="22"/>
        </w:rPr>
        <w:t>A retoma de operação automática só deve ocorrer após validação completa da integridade dos sistemas DCS e SIS por engenheiro de processo qualificado.</w:t>
      </w:r>
    </w:p>
    <w:p>
      <w:pPr>
        <w:pStyle w:val="ListParagraph"/>
      </w:pPr>
      <w:r>
        <w:rPr>
          <w:color w:val="374151"/>
          <w:sz w:val="22"/>
        </w:rPr>
        <w:t>Verificar todos os parâmetros de segurança e limites de alarme antes de reiniciar processos produtivos.</w:t>
      </w:r>
    </w:p>
    <w:p>
      <w:pPr>
        <w:pStyle w:val="ListParagraph"/>
      </w:pPr>
      <w:r>
        <w:rPr>
          <w:color w:val="374151"/>
          <w:sz w:val="22"/>
        </w:rPr>
        <w:t>Efectuar teste funcional completo dos sistemas SIS em ambiente isolado antes de colocar em serviço.</w:t>
      </w:r>
    </w:p>
    <w:p>
      <w:pPr>
        <w:pStyle w:val="ListParagraph"/>
      </w:pPr>
      <w:r>
        <w:rPr>
          <w:color w:val="374151"/>
          <w:sz w:val="22"/>
        </w:rPr>
        <w:t>Manter monitorização reforçada e presença adicional de operadores durante as primeiras 48 horas de operação após recuperação.</w:t>
      </w:r>
    </w:p>
    <w:p>
      <w:pPr>
        <w:pStyle w:val="Heading1"/>
      </w:pPr>
      <w:r>
        <w:rPr>
          <w:b/>
          <w:color w:val="1E3A8A"/>
          <w:sz w:val="32"/>
        </w:rPr>
        <w:t>7. Aprovação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 OT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segurança de processo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jurídico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