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saude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estabelece os procedimentos operacionais para deteção, contencao, erradicacao e recuperacao de incidentes de ciberseguranca no sector da saude, com especial atencao ao impacto na seguranca dos doentes e na continuidade dos cuidados de saude, em conformidade com o Decreto-Lei n.º 125/2025.</w:t>
      </w:r>
    </w:p>
    <w:p>
      <w:r>
        <w:rPr>
          <w:color w:val="374151"/>
          <w:sz w:val="22"/>
        </w:rPr>
        <w:t>Ambito de aplicacao: todos os sistemas de informacao clinica (processo clinico eletronico, prescricao, imagiologia PACS/DICOM), dispositivos medicos conectados, sistemas de gestao hospitalar, plataformas de telemedicina e infraestruturas de suporte aos cuidados de saude.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Risco direto para seguranca dos doentes; sistemas de urgencia ou bloco operatorio indisponiveis; dispositivo medico comprometido com doente em risco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Sistemas clinicos indisponiveis sem risco imediato para doentes; violacao de dados de saude; ransomware em propagacao na rede clinica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Sistemas administrativos afetados sem impacto clinico; anomalia de seguranca em sistema nao critico; phishing de colaborador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nao autorizado bloqueada; alerta sem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notificacao obrigatoria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ERS (Entidade Reguladora da Saude)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ERS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no sector da saude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DGS (Direcao-Geral da Saude)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oficial DGS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impacto em saude publica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servicos de saude publica ou notificacao de doencas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 (Comissao Nacional Protecao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apos conhecimento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Violacoes de dados de saude (categoria especial RGPD Art. 9)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SPMS (Servicos Partilhados do Ministerio da Saude)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operacional SPMS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impacto em SNS Digital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plataformas do SNS Digital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informatico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Cenarios de resposta detalhados</w:t>
      </w:r>
    </w:p>
    <w:p>
      <w:r>
        <w:rPr>
          <w:color w:val="374151"/>
          <w:sz w:val="22"/>
        </w:rPr>
        <w:t>Cenario 1: Ransomware que bloqueia sistemas clinicos</w:t>
      </w:r>
    </w:p>
    <w:p>
      <w:r>
        <w:rPr>
          <w:color w:val="374151"/>
          <w:sz w:val="22"/>
        </w:rPr>
        <w:t>Ransomware que se propaga pela rede hospitalar, cifrando sistemas de processo clinico eletronico, imagiologia e sistemas de urgencia, com risco para a seguranca dos doentes.</w:t>
      </w:r>
    </w:p>
    <w:p>
      <w:pPr>
        <w:pStyle w:val="ListParagraph"/>
      </w:pPr>
      <w:r>
        <w:rPr>
          <w:color w:val="374151"/>
          <w:sz w:val="22"/>
        </w:rPr>
        <w:t>Ativacao imediata do plano de contingencia clinica: transicao para processos manuais em papel para garantir continuidade dos cuidados de saude.</w:t>
      </w:r>
    </w:p>
    <w:p>
      <w:pPr>
        <w:pStyle w:val="ListParagraph"/>
      </w:pPr>
      <w:r>
        <w:rPr>
          <w:color w:val="374151"/>
          <w:sz w:val="22"/>
        </w:rPr>
        <w:t>Isolamento de sistemas afetados: desligar da rede os sistemas comprometidos, preservando sistemas criticos de suporte de vida que nao possam ser interrompidos.</w:t>
      </w:r>
    </w:p>
    <w:p>
      <w:pPr>
        <w:pStyle w:val="ListParagraph"/>
      </w:pPr>
      <w:r>
        <w:rPr>
          <w:color w:val="374151"/>
          <w:sz w:val="22"/>
        </w:rPr>
        <w:t>Alerta a direcao clinica e de enfermagem: garantir que toda a equipa clinica conhece o modo de operacao degradado e os procedimentos manuais.</w:t>
      </w:r>
    </w:p>
    <w:p>
      <w:pPr>
        <w:pStyle w:val="ListParagraph"/>
      </w:pPr>
      <w:r>
        <w:rPr>
          <w:color w:val="374151"/>
          <w:sz w:val="22"/>
        </w:rPr>
        <w:t>Notificacao interna urgente: CISO, administracao hospitalar e conselho de administracao nos primeiros 30 minutos.</w:t>
      </w:r>
    </w:p>
    <w:p>
      <w:pPr>
        <w:pStyle w:val="ListParagraph"/>
      </w:pPr>
      <w:r>
        <w:rPr>
          <w:color w:val="374151"/>
          <w:sz w:val="22"/>
        </w:rPr>
        <w:t>Notificacao ERS e CNCS: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Contacto com SPMS: notificar a SPMS (Servicos Partilhados do Ministerio da Saude) sobre o incidente e eventual impacto em servicos centrais.</w:t>
      </w:r>
    </w:p>
    <w:p>
      <w:pPr>
        <w:pStyle w:val="ListParagraph"/>
      </w:pPr>
      <w:r>
        <w:rPr>
          <w:color w:val="374151"/>
          <w:sz w:val="22"/>
        </w:rPr>
        <w:t>Avaliacao de backups isolados: verificar disponibilidade e integridade dos backups offline dos sistemas clinicos.</w:t>
      </w:r>
    </w:p>
    <w:p>
      <w:pPr>
        <w:pStyle w:val="ListParagraph"/>
      </w:pPr>
      <w:r>
        <w:rPr>
          <w:color w:val="374151"/>
          <w:sz w:val="22"/>
        </w:rPr>
        <w:t>Recuperacao priorizada: restaurar primeiro sistemas de urgencia e bloco operatorio, depois enfermarias, por fim sistemas administrativos.</w:t>
      </w:r>
    </w:p>
    <w:p/>
    <w:p>
      <w:r>
        <w:rPr>
          <w:color w:val="374151"/>
          <w:sz w:val="22"/>
        </w:rPr>
        <w:t>Cenario 2: Violacao de dados de saude (RGPD Art. 9)</w:t>
      </w:r>
    </w:p>
    <w:p>
      <w:r>
        <w:rPr>
          <w:color w:val="374151"/>
          <w:sz w:val="22"/>
        </w:rPr>
        <w:t>Exfiltracao nao autorizada de dados de saude de doentes, constituindo violacao de dados pessoais de categoria especial nos termos do Art. 9 do RGPD.</w:t>
      </w:r>
    </w:p>
    <w:p>
      <w:pPr>
        <w:pStyle w:val="ListParagraph"/>
      </w:pPr>
      <w:r>
        <w:rPr>
          <w:color w:val="374151"/>
          <w:sz w:val="22"/>
        </w:rPr>
        <w:t>Deteção via SIEM ou DLP: identificacao de exfiltracao anormal de dados de processos clinicos ou base de dados de doentes.</w:t>
      </w:r>
    </w:p>
    <w:p>
      <w:pPr>
        <w:pStyle w:val="ListParagraph"/>
      </w:pPr>
      <w:r>
        <w:rPr>
          <w:color w:val="374151"/>
          <w:sz w:val="22"/>
        </w:rPr>
        <w:t>Bloqueio imediato: interromper canais de exfiltracao e suspender credenciais comprometidas.</w:t>
      </w:r>
    </w:p>
    <w:p>
      <w:pPr>
        <w:pStyle w:val="ListParagraph"/>
      </w:pPr>
      <w:r>
        <w:rPr>
          <w:color w:val="374151"/>
          <w:sz w:val="22"/>
        </w:rPr>
        <w:t>Determinacao do ambito: identificar quantos doentes afetados, que categorias de dados (diagnosticos, medicacao, geneticos), e o periodo temporal.</w:t>
      </w:r>
    </w:p>
    <w:p>
      <w:pPr>
        <w:pStyle w:val="ListParagraph"/>
      </w:pPr>
      <w:r>
        <w:rPr>
          <w:color w:val="374151"/>
          <w:sz w:val="22"/>
        </w:rPr>
        <w:t>Notificacao CNPD: violacao de dados de saude (categoria especial) notificada a CNPD em menos de 72 horas (RGPD Art. 33.º).</w:t>
      </w:r>
    </w:p>
    <w:p>
      <w:pPr>
        <w:pStyle w:val="ListParagraph"/>
      </w:pPr>
      <w:r>
        <w:rPr>
          <w:color w:val="374151"/>
          <w:sz w:val="22"/>
        </w:rPr>
        <w:t>Notificacao ERS e CNCS: incidente reportado a autoridade reguladora setorial e ao CNCS conforme DL 125/2025.</w:t>
      </w:r>
    </w:p>
    <w:p>
      <w:pPr>
        <w:pStyle w:val="ListParagraph"/>
      </w:pPr>
      <w:r>
        <w:rPr>
          <w:color w:val="374151"/>
          <w:sz w:val="22"/>
        </w:rPr>
        <w:t>Notificacao a DGS: se os dados incluirem informacao epidemiologica relevante ou dados de doencas de notificacao obrigatoria.</w:t>
      </w:r>
    </w:p>
    <w:p>
      <w:pPr>
        <w:pStyle w:val="ListParagraph"/>
      </w:pPr>
      <w:r>
        <w:rPr>
          <w:color w:val="374151"/>
          <w:sz w:val="22"/>
        </w:rPr>
        <w:t>Comunicacao a doentes afetados: notificacao individual dos doentes cujos dados foram comprometidos, com informacao clara sobre o impacto e medidas de protecao.</w:t>
      </w:r>
    </w:p>
    <w:p>
      <w:pPr>
        <w:pStyle w:val="ListParagraph"/>
      </w:pPr>
      <w:r>
        <w:rPr>
          <w:color w:val="374151"/>
          <w:sz w:val="22"/>
        </w:rPr>
        <w:t>Investigacao criminal: cooperar com PJ na investigacao e preservar evidencias forenses.</w:t>
      </w:r>
    </w:p>
    <w:p/>
    <w:p>
      <w:r>
        <w:rPr>
          <w:color w:val="374151"/>
          <w:sz w:val="22"/>
        </w:rPr>
        <w:t>Cenario 3: Ataque a dispositivo medico conectado</w:t>
      </w:r>
    </w:p>
    <w:p>
      <w:r>
        <w:rPr>
          <w:color w:val="374151"/>
          <w:sz w:val="22"/>
        </w:rPr>
        <w:t>Comprometimento de um dispositivo medico conectado (bomba de infusao, monitor de sinais vitais, ventilador) com potencial alteracao de parametros clinicos e risco para doentes.</w:t>
      </w:r>
    </w:p>
    <w:p>
      <w:pPr>
        <w:pStyle w:val="ListParagraph"/>
      </w:pPr>
      <w:r>
        <w:rPr>
          <w:color w:val="374151"/>
          <w:sz w:val="22"/>
        </w:rPr>
        <w:t>Alerta clinico imediato: notificar imediatamente equipas clinicas sobre possivel comprometimento do dispositivo afetado.</w:t>
      </w:r>
    </w:p>
    <w:p>
      <w:pPr>
        <w:pStyle w:val="ListParagraph"/>
      </w:pPr>
      <w:r>
        <w:rPr>
          <w:color w:val="374151"/>
          <w:sz w:val="22"/>
        </w:rPr>
        <w:t>Substituicao clinica do dispositivo: substituir o dispositivo comprometido por um alternativo e aumentar monitorizacao manual do doente afetado.</w:t>
      </w:r>
    </w:p>
    <w:p>
      <w:pPr>
        <w:pStyle w:val="ListParagraph"/>
      </w:pPr>
      <w:r>
        <w:rPr>
          <w:color w:val="374151"/>
          <w:sz w:val="22"/>
        </w:rPr>
        <w:t>Isolamento do dispositivo: desligar o dispositivo comprometido da rede sem perturbar a sua funcao clinica imediata se ainda em uso.</w:t>
      </w:r>
    </w:p>
    <w:p>
      <w:pPr>
        <w:pStyle w:val="ListParagraph"/>
      </w:pPr>
      <w:r>
        <w:rPr>
          <w:color w:val="374151"/>
          <w:sz w:val="22"/>
        </w:rPr>
        <w:t>Verificacao de todos os dispositivos do mesmo modelo: inspecionar e isolar todos os dispositivos do mesmo modelo ou lote como medida preventiva.</w:t>
      </w:r>
    </w:p>
    <w:p>
      <w:pPr>
        <w:pStyle w:val="ListParagraph"/>
      </w:pPr>
      <w:r>
        <w:rPr>
          <w:color w:val="374151"/>
          <w:sz w:val="22"/>
        </w:rPr>
        <w:t>Notificacao ao INFARMED: dispositivos medicos comprometidos devem ser reportados ao INFARMED como incidente de vigilancia.</w:t>
      </w:r>
    </w:p>
    <w:p>
      <w:pPr>
        <w:pStyle w:val="ListParagraph"/>
      </w:pPr>
      <w:r>
        <w:rPr>
          <w:color w:val="374151"/>
          <w:sz w:val="22"/>
        </w:rPr>
        <w:t>Notificacao ERS e CNCS: incidente de ciberseguranca em dispositivo medico reportado conforme DL 125/2025.</w:t>
      </w:r>
    </w:p>
    <w:p>
      <w:pPr>
        <w:pStyle w:val="ListParagraph"/>
      </w:pPr>
      <w:r>
        <w:rPr>
          <w:color w:val="374151"/>
          <w:sz w:val="22"/>
        </w:rPr>
        <w:t>Contacto com fabricante: notificar o fabricante do dispositivo para suporte tecnico e avaliacao de patch de seguranca.</w:t>
      </w:r>
    </w:p>
    <w:p>
      <w:pPr>
        <w:pStyle w:val="ListParagraph"/>
      </w:pPr>
      <w:r>
        <w:rPr>
          <w:color w:val="374151"/>
          <w:sz w:val="22"/>
        </w:rPr>
        <w:t>Relatorio de seguranca de doentes: documentar impacto clinico real ou potencial em todos os doentes que utilizaram dispositivos afetados.</w:t>
      </w:r>
    </w:p>
    <w:p/>
    <w:p>
      <w:r>
        <w:rPr>
          <w:color w:val="374151"/>
          <w:sz w:val="22"/>
        </w:rPr>
        <w:t>Cenario 4: Indisponibilidade de sistema de urgencia</w:t>
      </w:r>
    </w:p>
    <w:p>
      <w:r>
        <w:rPr>
          <w:color w:val="374151"/>
          <w:sz w:val="22"/>
        </w:rPr>
        <w:t>Falha ou ataque que torna indisponivel o sistema de triagem e gestao de urgencias hospitalares, afetando a capacidade de atender doentes em situacao critica.</w:t>
      </w:r>
    </w:p>
    <w:p>
      <w:pPr>
        <w:pStyle w:val="ListParagraph"/>
      </w:pPr>
      <w:r>
        <w:rPr>
          <w:color w:val="374151"/>
          <w:sz w:val="22"/>
        </w:rPr>
        <w:t>Ativacao imediata de triagem manual: implementar sistema de triagem de Manchester em papel, com pessoal adicional na triagem.</w:t>
      </w:r>
    </w:p>
    <w:p>
      <w:pPr>
        <w:pStyle w:val="ListParagraph"/>
      </w:pPr>
      <w:r>
        <w:rPr>
          <w:color w:val="374151"/>
          <w:sz w:val="22"/>
        </w:rPr>
        <w:t>Comunicacao interna: alertar toda a equipa de urgencia sobre o modo de operacao manual e os procedimentos em vigor.</w:t>
      </w:r>
    </w:p>
    <w:p>
      <w:pPr>
        <w:pStyle w:val="ListParagraph"/>
      </w:pPr>
      <w:r>
        <w:rPr>
          <w:color w:val="374151"/>
          <w:sz w:val="22"/>
        </w:rPr>
        <w:t>Desvio de ambulancias: coordenar com INEM para eventual desvio de ambulancias para outras unidades se a capacidade estiver comprometida.</w:t>
      </w:r>
    </w:p>
    <w:p>
      <w:pPr>
        <w:pStyle w:val="ListParagraph"/>
      </w:pPr>
      <w:r>
        <w:rPr>
          <w:color w:val="374151"/>
          <w:sz w:val="22"/>
        </w:rPr>
        <w:t>Notificacao da administracao: comunicar imediatamente a administracao hospitalar e a direao clinica.</w:t>
      </w:r>
    </w:p>
    <w:p>
      <w:pPr>
        <w:pStyle w:val="ListParagraph"/>
      </w:pPr>
      <w:r>
        <w:rPr>
          <w:color w:val="374151"/>
          <w:sz w:val="22"/>
        </w:rPr>
        <w:t>Contacto com ARS: notificar a Administracao Regional de Saude sobre a situacao e necessidade de apoio.</w:t>
      </w:r>
    </w:p>
    <w:p>
      <w:pPr>
        <w:pStyle w:val="ListParagraph"/>
      </w:pPr>
      <w:r>
        <w:rPr>
          <w:color w:val="374151"/>
          <w:sz w:val="22"/>
        </w:rPr>
        <w:t>Notificacao ERS e CNCS: alerta as autoridades competentes em menos de 24 horas conforme DL 125/2025.</w:t>
      </w:r>
    </w:p>
    <w:p>
      <w:pPr>
        <w:pStyle w:val="ListParagraph"/>
      </w:pPr>
      <w:r>
        <w:rPr>
          <w:color w:val="374151"/>
          <w:sz w:val="22"/>
        </w:rPr>
        <w:t>Estimativa de tempo de recuperacao: fornecer estimativa realista de recuperacao para permitir planeamento clinico.</w:t>
      </w:r>
    </w:p>
    <w:p>
      <w:pPr>
        <w:pStyle w:val="ListParagraph"/>
      </w:pPr>
      <w:r>
        <w:rPr>
          <w:color w:val="374151"/>
          <w:sz w:val="22"/>
        </w:rPr>
        <w:t>Restauro priorizado: recuperar primeiro modulos de triagem e prescricao de emergencia, depois o restante do sistema.</w:t>
      </w:r>
    </w:p>
    <w:p/>
    <w:p>
      <w:pPr>
        <w:pStyle w:val="Heading1"/>
      </w:pPr>
      <w:r>
        <w:rPr>
          <w:b/>
          <w:color w:val="1E3A8A"/>
          <w:sz w:val="32"/>
        </w:rPr>
        <w:t>5. Procedimentos de operacao em modo degradado</w:t>
      </w:r>
    </w:p>
    <w:p>
      <w:r>
        <w:rPr>
          <w:color w:val="374151"/>
          <w:sz w:val="22"/>
        </w:rPr>
        <w:t>Em caso de indisponibilidade dos sistemas clinicos, todos os servicos devem operar segundo os seguintes procedimentos de contingencia, previamente treinados:</w:t>
      </w:r>
    </w:p>
    <w:p>
      <w:pPr>
        <w:pStyle w:val="ListParagraph"/>
      </w:pPr>
      <w:r>
        <w:rPr>
          <w:color w:val="374151"/>
          <w:sz w:val="22"/>
        </w:rPr>
        <w:t>Triagem: utilizacao de formularios de triagem de Manchester em papel, com escala de cores, e registo manual na entrada da urgencia.</w:t>
      </w:r>
    </w:p>
    <w:p>
      <w:pPr>
        <w:pStyle w:val="ListParagraph"/>
      </w:pPr>
      <w:r>
        <w:rPr>
          <w:color w:val="374151"/>
          <w:sz w:val="22"/>
        </w:rPr>
        <w:t>Prescricao: prescricao em receituario manual com assinatura manuscrita do prescritor, com registo posterior no sistema quando disponivel.</w:t>
      </w:r>
    </w:p>
    <w:p>
      <w:pPr>
        <w:pStyle w:val="ListParagraph"/>
      </w:pPr>
      <w:r>
        <w:rPr>
          <w:color w:val="374151"/>
          <w:sz w:val="22"/>
        </w:rPr>
        <w:t>Administracao de medicacao: dupla verificacao manual por dois profissionais de todas as administracoes de medicacao de alto risco.</w:t>
      </w:r>
    </w:p>
    <w:p>
      <w:pPr>
        <w:pStyle w:val="ListParagraph"/>
      </w:pPr>
      <w:r>
        <w:rPr>
          <w:color w:val="374151"/>
          <w:sz w:val="22"/>
        </w:rPr>
        <w:t>Exames complementares: requisicao em papel, com transporte fisico das requisicoes e resultados entre servicos.</w:t>
      </w:r>
    </w:p>
    <w:p>
      <w:pPr>
        <w:pStyle w:val="ListParagraph"/>
      </w:pPr>
      <w:r>
        <w:rPr>
          <w:color w:val="374151"/>
          <w:sz w:val="22"/>
        </w:rPr>
        <w:t>Bloco operatorio: verificacao manual de dados do doente com o processo clinico impresso antes do procedimento cirurgico.</w:t>
      </w:r>
    </w:p>
    <w:p>
      <w:pPr>
        <w:pStyle w:val="ListParagraph"/>
      </w:pPr>
      <w:r>
        <w:rPr>
          <w:color w:val="374151"/>
          <w:sz w:val="22"/>
        </w:rPr>
        <w:t>Comunicacao interna: utilizacao de sistema telefonico e mensageiro para comunicacao entre servicos clinicos.</w:t>
      </w:r>
    </w:p>
    <w:p>
      <w:pPr>
        <w:pStyle w:val="Heading1"/>
      </w:pPr>
      <w:r>
        <w:rPr>
          <w:b/>
          <w:color w:val="1E3A8A"/>
          <w:sz w:val="32"/>
        </w:rPr>
        <w:t>6.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clinico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Encarregado de protecao de dados (EPD)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Conselho de administracao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