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da gestão de serviços TIC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O presente plano de resposta a incidentes estabelece os procedimentos operacionais para deteção, contenção, erradicação e recuperação de incidentes de cibersegurança no sector da gestão de serviços TIC, em conformidade com o Art. 27.º alínea b) e Art. 34.º do Decreto-Lei n.º 125/2025.</w:t>
      </w:r>
    </w:p>
    <w:p>
      <w:r>
        <w:rPr>
          <w:color w:val="374151"/>
          <w:sz w:val="22"/>
        </w:rPr>
        <w:t>Os MSP e MSSP têm responsabilidades acrescidas na resposta a incidentes: além de gerir o incidente na sua própria infraestrutura, devem coordenar a resposta com múltiplos clientes afetados, assegurar a continuidade dos serviços geridos e cumprir obrigações de notificação tanto regulatórias (CNCS) como contratuais (clientes).</w:t>
      </w:r>
    </w:p>
    <w:p>
      <w:r>
        <w:rPr>
          <w:color w:val="374151"/>
          <w:sz w:val="22"/>
        </w:rPr>
        <w:t>Âmbito de aplicação: infraestrutura do MSP, ferramentas de gestão (RMM, PSA, SOC), ambientes de clientes geridos e todos os sistemas e serviços utilizados na prestação de serviços geridos de TIC e segurança.</w:t>
      </w:r>
    </w:p>
    <w:p>
      <w:pPr>
        <w:pStyle w:val="Heading1"/>
      </w:pPr>
      <w:r>
        <w:rPr>
          <w:b/>
          <w:color w:val="1E3A8A"/>
          <w:sz w:val="32"/>
        </w:rPr>
        <w:t>2. Classificação de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Crítico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Comprometimento de ferramentas de gestão com impacto em múltiplos clientes; supply chain attack ativo; ransomware com propagação multi-tenant; exfiltração de dados de múltiplos clientes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Comprometimento de um ambiente de cliente sem propagação; falha do SOC; comprometimento de credenciais com acesso a ambientes de clientes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Médio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Vulnerabilidade explorada em sistema periférico; tentativa de acesso a ambiente de cliente bloqueada; anomalia de segurança detetada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Evento de segurança sem impacto operacional; violação de política de segurança menor; alerta SIEM de baixa severidade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Contactos de notificação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Âmbito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alerta, &lt; 72h notificação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significativos de cibersegurança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(Polícia Judiciária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suspeita de crime informático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se dados pessoais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violação de dados pessoais de clientes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Clientes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Canal de comunicação contratual definido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 mais rapidamente possível (&lt; 4h para P1)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com impacto em serviços de clientes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Autoridades reguladoras dos clientes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Conforme sector de cada cliente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Conforme obrigações do cliente (apoio do MSP)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Se MSP tiver obrigação contratual de notificar em nome de cliente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Cenários de resposta detalhados</w:t>
      </w:r>
    </w:p>
    <w:p>
      <w:r>
        <w:rPr>
          <w:color w:val="374151"/>
          <w:sz w:val="22"/>
        </w:rPr>
        <w:t>Cenário 1: Supply chain attack propagado a clientes</w:t>
      </w:r>
    </w:p>
    <w:p>
      <w:r>
        <w:rPr>
          <w:color w:val="374151"/>
          <w:sz w:val="22"/>
        </w:rPr>
        <w:t>Comprometimento de um componente de software ou ferramenta utilizada pelo MSP que resulta na distribuição de código malicioso a múltiplos clientes através dos mecanismos de gestão ou de atualização.</w:t>
      </w:r>
    </w:p>
    <w:p>
      <w:pPr>
        <w:pStyle w:val="ListParagraph"/>
      </w:pPr>
      <w:r>
        <w:rPr>
          <w:color w:val="374151"/>
          <w:sz w:val="22"/>
        </w:rPr>
        <w:t>Deteção: alerta de segurança sobre componente comprometido, ou deteção de comportamento anómalo em múltiplos clientes.</w:t>
      </w:r>
    </w:p>
    <w:p>
      <w:pPr>
        <w:pStyle w:val="ListParagraph"/>
      </w:pPr>
      <w:r>
        <w:rPr>
          <w:color w:val="374151"/>
          <w:sz w:val="22"/>
        </w:rPr>
        <w:t>Isolamento imediato: suspender distribuição de atualizações. Isolar ferramenta ou componente comprometido.</w:t>
      </w:r>
    </w:p>
    <w:p>
      <w:pPr>
        <w:pStyle w:val="ListParagraph"/>
      </w:pPr>
      <w:r>
        <w:rPr>
          <w:color w:val="374151"/>
          <w:sz w:val="22"/>
        </w:rPr>
        <w:t>Inventário de impacto: identificar todos os clientes que receberam o componente comprometido.</w:t>
      </w:r>
    </w:p>
    <w:p>
      <w:pPr>
        <w:pStyle w:val="ListParagraph"/>
      </w:pPr>
      <w:r>
        <w:rPr>
          <w:color w:val="374151"/>
          <w:sz w:val="22"/>
        </w:rPr>
        <w:t>Notificação de clientes afetados: alertar imediatamente todos os clientes impactados com detalhes do incidente.</w:t>
      </w:r>
    </w:p>
    <w:p>
      <w:pPr>
        <w:pStyle w:val="ListParagraph"/>
      </w:pPr>
      <w:r>
        <w:rPr>
          <w:color w:val="374151"/>
          <w:sz w:val="22"/>
        </w:rPr>
        <w:t>Notificação CNCS: notificação inicial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Erradicação: remover componente comprometido de todos os ambientes afetados. Verificar integridade dos sistemas.</w:t>
      </w:r>
    </w:p>
    <w:p>
      <w:pPr>
        <w:pStyle w:val="ListParagraph"/>
      </w:pPr>
      <w:r>
        <w:rPr>
          <w:color w:val="374151"/>
          <w:sz w:val="22"/>
        </w:rPr>
        <w:t>Investigação forense: determinar extensão do comprometimento, dados acedidos e ações realizadas pelo código malicioso.</w:t>
      </w:r>
    </w:p>
    <w:p>
      <w:pPr>
        <w:pStyle w:val="ListParagraph"/>
      </w:pPr>
      <w:r>
        <w:rPr>
          <w:color w:val="374151"/>
          <w:sz w:val="22"/>
        </w:rPr>
        <w:t>Relatório final: relatório para CNCS e clientes com análise de causa raiz, impacto e medidas preventivas.</w:t>
      </w:r>
    </w:p>
    <w:p/>
    <w:p>
      <w:r>
        <w:rPr>
          <w:color w:val="374151"/>
          <w:sz w:val="22"/>
        </w:rPr>
        <w:t>Cenário 2: Comprometimento de ferramenta RMM</w:t>
      </w:r>
    </w:p>
    <w:p>
      <w:r>
        <w:rPr>
          <w:color w:val="374151"/>
          <w:sz w:val="22"/>
        </w:rPr>
        <w:t>Comprometimento da ferramenta de Remote Monitoring and Management utilizada pelo MSP para gestão de sistemas de clientes, permitindo a um atacante acesso privilegiado a múltiplos ambientes de clientes.</w:t>
      </w:r>
    </w:p>
    <w:p>
      <w:pPr>
        <w:pStyle w:val="ListParagraph"/>
      </w:pPr>
      <w:r>
        <w:rPr>
          <w:color w:val="374151"/>
          <w:sz w:val="22"/>
        </w:rPr>
        <w:t>Deteção: atividade suspeita na ferramenta RMM, acessos a horas incomuns ou de localizações inesperadas.</w:t>
      </w:r>
    </w:p>
    <w:p>
      <w:pPr>
        <w:pStyle w:val="ListParagraph"/>
      </w:pPr>
      <w:r>
        <w:rPr>
          <w:color w:val="374151"/>
          <w:sz w:val="22"/>
        </w:rPr>
        <w:t>Suspensão da ferramenta RMM: desativar imediatamente o acesso remoto via RMM para todos os clientes.</w:t>
      </w:r>
    </w:p>
    <w:p>
      <w:pPr>
        <w:pStyle w:val="ListParagraph"/>
      </w:pPr>
      <w:r>
        <w:rPr>
          <w:color w:val="374151"/>
          <w:sz w:val="22"/>
        </w:rPr>
        <w:t>Revogação de credenciais: revogar todos os tokens, chaves API e credenciais associadas à ferramenta RMM.</w:t>
      </w:r>
    </w:p>
    <w:p>
      <w:pPr>
        <w:pStyle w:val="ListParagraph"/>
      </w:pPr>
      <w:r>
        <w:rPr>
          <w:color w:val="374151"/>
          <w:sz w:val="22"/>
        </w:rPr>
        <w:t>Notificação de clientes: alertar todos os clientes sobre a suspensão do serviço RMM e o motivo.</w:t>
      </w:r>
    </w:p>
    <w:p>
      <w:pPr>
        <w:pStyle w:val="ListParagraph"/>
      </w:pPr>
      <w:r>
        <w:rPr>
          <w:color w:val="374151"/>
          <w:sz w:val="22"/>
        </w:rPr>
        <w:t>Auditoria de atividade: revisar todos os logs de atividade da ferramenta RMM nas últimas 72 horas.</w:t>
      </w:r>
    </w:p>
    <w:p>
      <w:pPr>
        <w:pStyle w:val="ListParagraph"/>
      </w:pPr>
      <w:r>
        <w:rPr>
          <w:color w:val="374151"/>
          <w:sz w:val="22"/>
        </w:rPr>
        <w:t>Notificação CNCS: notificação inicial em menos de 24 horas. Avaliar impacto em cada cliente.</w:t>
      </w:r>
    </w:p>
    <w:p>
      <w:pPr>
        <w:pStyle w:val="ListParagraph"/>
      </w:pPr>
      <w:r>
        <w:rPr>
          <w:color w:val="374151"/>
          <w:sz w:val="22"/>
        </w:rPr>
        <w:t>Recuperação controlada: restaurar acesso RMM somente após erradicação completa e com credenciais novas.</w:t>
      </w:r>
    </w:p>
    <w:p>
      <w:pPr>
        <w:pStyle w:val="ListParagraph"/>
      </w:pPr>
      <w:r>
        <w:rPr>
          <w:color w:val="374151"/>
          <w:sz w:val="22"/>
        </w:rPr>
        <w:t>Reforço de controlos: implementar MFA adicional, alertas de acesso anómalo e revisão de permissões RMM.</w:t>
      </w:r>
    </w:p>
    <w:p/>
    <w:p>
      <w:r>
        <w:rPr>
          <w:color w:val="374151"/>
          <w:sz w:val="22"/>
        </w:rPr>
        <w:t>Cenário 3: Ransomware multi-tenant</w:t>
      </w:r>
    </w:p>
    <w:p>
      <w:r>
        <w:rPr>
          <w:color w:val="374151"/>
          <w:sz w:val="22"/>
        </w:rPr>
        <w:t>Ataque de ransomware que se inicia num ambiente de cliente e se propaga através da infraestrutura partilhada do MSP para outros ambientes de clientes, cifrando dados críticos.</w:t>
      </w:r>
    </w:p>
    <w:p>
      <w:pPr>
        <w:pStyle w:val="ListParagraph"/>
      </w:pPr>
      <w:r>
        <w:rPr>
          <w:color w:val="374151"/>
          <w:sz w:val="22"/>
        </w:rPr>
        <w:t>Deteção: SOC identifica comportamento de ransomware num ambiente de cliente. Avaliação de propagação imediata.</w:t>
      </w:r>
    </w:p>
    <w:p>
      <w:pPr>
        <w:pStyle w:val="ListParagraph"/>
      </w:pPr>
      <w:r>
        <w:rPr>
          <w:color w:val="374151"/>
          <w:sz w:val="22"/>
        </w:rPr>
        <w:t>Isolamento de emergência: isolar imediatamente o ambiente afetado da infraestrutura partilhada.</w:t>
      </w:r>
    </w:p>
    <w:p>
      <w:pPr>
        <w:pStyle w:val="ListParagraph"/>
      </w:pPr>
      <w:r>
        <w:rPr>
          <w:color w:val="374151"/>
          <w:sz w:val="22"/>
        </w:rPr>
        <w:t>Verificação de outros clientes: verificar se outros ambientes foram afetados. Isolar preventivamente se necessário.</w:t>
      </w:r>
    </w:p>
    <w:p>
      <w:pPr>
        <w:pStyle w:val="ListParagraph"/>
      </w:pPr>
      <w:r>
        <w:rPr>
          <w:color w:val="374151"/>
          <w:sz w:val="22"/>
        </w:rPr>
        <w:t>Notificação de clientes afetados: alertar clientes impactados nos primeiros 30 minutos.</w:t>
      </w:r>
    </w:p>
    <w:p>
      <w:pPr>
        <w:pStyle w:val="ListParagraph"/>
      </w:pPr>
      <w:r>
        <w:rPr>
          <w:color w:val="374151"/>
          <w:sz w:val="22"/>
        </w:rPr>
        <w:t>Notificação CNCS: notificação inicial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Contenção e erradicação: limpar o ransomware de todos os ambientes afetados. Verificar vetores de entrada.</w:t>
      </w:r>
    </w:p>
    <w:p>
      <w:pPr>
        <w:pStyle w:val="ListParagraph"/>
      </w:pPr>
      <w:r>
        <w:rPr>
          <w:color w:val="374151"/>
          <w:sz w:val="22"/>
        </w:rPr>
        <w:t>Recuperação a partir de backups: restaurar dados a partir de backups limpos por cliente. Não pagar resgate.</w:t>
      </w:r>
    </w:p>
    <w:p>
      <w:pPr>
        <w:pStyle w:val="ListParagraph"/>
      </w:pPr>
      <w:r>
        <w:rPr>
          <w:color w:val="374151"/>
          <w:sz w:val="22"/>
        </w:rPr>
        <w:t>Análise pós-incidente: rever segmentação entre ambientes de clientes e reforçar controlos de isolamento.</w:t>
      </w:r>
    </w:p>
    <w:p/>
    <w:p>
      <w:r>
        <w:rPr>
          <w:color w:val="374151"/>
          <w:sz w:val="22"/>
        </w:rPr>
        <w:t>Cenário 4: Violação de dados de múltiplos clientes</w:t>
      </w:r>
    </w:p>
    <w:p>
      <w:r>
        <w:rPr>
          <w:color w:val="374151"/>
          <w:sz w:val="22"/>
        </w:rPr>
        <w:t>Exfiltração não autorizada de dados de múltiplos clientes por um atacante que obteve acesso à infraestrutura partilhada do MSP, com potencial violação do RGPD para dados pessoais afetados.</w:t>
      </w:r>
    </w:p>
    <w:p>
      <w:pPr>
        <w:pStyle w:val="ListParagraph"/>
      </w:pPr>
      <w:r>
        <w:rPr>
          <w:color w:val="374151"/>
          <w:sz w:val="22"/>
        </w:rPr>
        <w:t>Deteção: sistema DLP ou análise de tráfego identifica transferência não autorizada de dados de clientes.</w:t>
      </w:r>
    </w:p>
    <w:p>
      <w:pPr>
        <w:pStyle w:val="ListParagraph"/>
      </w:pPr>
      <w:r>
        <w:rPr>
          <w:color w:val="374151"/>
          <w:sz w:val="22"/>
        </w:rPr>
        <w:t>Bloqueio imediato: interromper as conexões suspeitas e suspender contas comprometidas.</w:t>
      </w:r>
    </w:p>
    <w:p>
      <w:pPr>
        <w:pStyle w:val="ListParagraph"/>
      </w:pPr>
      <w:r>
        <w:rPr>
          <w:color w:val="374151"/>
          <w:sz w:val="22"/>
        </w:rPr>
        <w:t>Inventário de dados afetados: determinar que dados de que clientes foram exfiltrados.</w:t>
      </w:r>
    </w:p>
    <w:p>
      <w:pPr>
        <w:pStyle w:val="ListParagraph"/>
      </w:pPr>
      <w:r>
        <w:rPr>
          <w:color w:val="374151"/>
          <w:sz w:val="22"/>
        </w:rPr>
        <w:t>Notificação de clientes afetados: alertar os clientes cujos dados foram comprometidos o mais rapidamente possível.</w:t>
      </w:r>
    </w:p>
    <w:p>
      <w:pPr>
        <w:pStyle w:val="ListParagraph"/>
      </w:pPr>
      <w:r>
        <w:rPr>
          <w:color w:val="374151"/>
          <w:sz w:val="22"/>
        </w:rPr>
        <w:t>Notificação CNCS: notificação inicial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Notificação CNPD: se dados pessoais foram afetados, notificar a CNPD em menos de 72 horas (Art. 33.º RGPD).</w:t>
      </w:r>
    </w:p>
    <w:p>
      <w:pPr>
        <w:pStyle w:val="ListParagraph"/>
      </w:pPr>
      <w:r>
        <w:rPr>
          <w:color w:val="374151"/>
          <w:sz w:val="22"/>
        </w:rPr>
        <w:t>Avaliação de impacto RGPD: avaliar a obrigação de notificação dos titulares dos dados pessoais afetados.</w:t>
      </w:r>
    </w:p>
    <w:p>
      <w:pPr>
        <w:pStyle w:val="ListParagraph"/>
      </w:pPr>
      <w:r>
        <w:rPr>
          <w:color w:val="374151"/>
          <w:sz w:val="22"/>
        </w:rPr>
        <w:t>Investigação forense: investigar vetor de ataque, escala do comprometimento e duração do acesso não autorizado.</w:t>
      </w:r>
    </w:p>
    <w:p/>
    <w:p>
      <w:pPr>
        <w:pStyle w:val="Heading1"/>
      </w:pPr>
      <w:r>
        <w:rPr>
          <w:b/>
          <w:color w:val="1E3A8A"/>
          <w:sz w:val="32"/>
        </w:rPr>
        <w:t>5. Gestão de comunicação com clientes em incidentes</w:t>
      </w:r>
    </w:p>
    <w:p>
      <w:r>
        <w:rPr>
          <w:color w:val="374151"/>
          <w:sz w:val="22"/>
        </w:rPr>
        <w:t>A comunicação com clientes durante incidentes é crítica para a reputação e continuidade do MSP. Os seguintes princípios devem guiar toda a comunicação:</w:t>
      </w:r>
    </w:p>
    <w:p>
      <w:pPr>
        <w:pStyle w:val="ListParagraph"/>
      </w:pPr>
      <w:r>
        <w:rPr>
          <w:color w:val="374151"/>
          <w:sz w:val="22"/>
        </w:rPr>
        <w:t>Transparência proativa: comunicar aos clientes afetados o mais rapidamente possível, mesmo antes de ter toda a informação. Nunca ocultar ou minimizar incidentes.</w:t>
      </w:r>
    </w:p>
    <w:p>
      <w:pPr>
        <w:pStyle w:val="ListParagraph"/>
      </w:pPr>
      <w:r>
        <w:rPr>
          <w:color w:val="374151"/>
          <w:sz w:val="22"/>
        </w:rPr>
        <w:t>Atualizações regulares: fornecer atualizações de estado a clientes afetados com frequência mínima de 2 em 2 horas durante incidentes P1 e P2.</w:t>
      </w:r>
    </w:p>
    <w:p>
      <w:pPr>
        <w:pStyle w:val="ListParagraph"/>
      </w:pPr>
      <w:r>
        <w:rPr>
          <w:color w:val="374151"/>
          <w:sz w:val="22"/>
        </w:rPr>
        <w:t>Canal dedicado: designar um gestor de conta ou responsável de comunicação dedicado para cada cliente afetado durante o incidente.</w:t>
      </w:r>
    </w:p>
    <w:p>
      <w:pPr>
        <w:pStyle w:val="ListParagraph"/>
      </w:pPr>
      <w:r>
        <w:rPr>
          <w:color w:val="374151"/>
          <w:sz w:val="22"/>
        </w:rPr>
        <w:t>Relatório pós-incidente: fornecer a todos os clientes afetados um relatório pós-incidente detalhado no prazo de 5 dias úteis após o encerramento.</w:t>
      </w:r>
    </w:p>
    <w:p>
      <w:pPr>
        <w:pStyle w:val="ListParagraph"/>
      </w:pPr>
      <w:r>
        <w:rPr>
          <w:color w:val="374151"/>
          <w:sz w:val="22"/>
        </w:rPr>
        <w:t>Apoio a notificações regulatórias: apoiar ativamente os clientes no cumprimento das suas obrigações de notificação regulatória decorrentes do incidente.</w:t>
      </w:r>
    </w:p>
    <w:p>
      <w:pPr>
        <w:pStyle w:val="Heading1"/>
      </w:pPr>
      <w:r>
        <w:rPr>
          <w:b/>
          <w:color w:val="1E3A8A"/>
          <w:sz w:val="32"/>
        </w:rPr>
        <w:t>6. Aprovação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operações de serviços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conformidade regulatória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