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pPr>
        <w:jc w:val="center"/>
      </w:pPr>
      <w:r>
        <w:rPr>
          <w:color w:val="9CA3AF"/>
          <w:sz w:val="22"/>
        </w:rPr>
        <w:t>[Nome da organização]</w:t>
      </w:r>
    </w:p>
    <w:p>
      <w:pPr>
        <w:jc w:val="center"/>
      </w:pPr>
      <w:r>
        <w:rPr>
          <w:b/>
          <w:color w:val="1E3A8A"/>
          <w:sz w:val="28"/>
        </w:rPr>
        <w:t>Plano de resposta a incidentes NIS2 — Sector dos transportes</w:t>
      </w:r>
    </w:p>
    <w:p>
      <w:pPr>
        <w:jc w:val="center"/>
      </w:pPr>
      <w:r>
        <w:rPr>
          <w:color w:val="374151"/>
          <w:sz w:val="22"/>
        </w:rPr>
        <w:t>Conformidade com o Decreto-Lei n.º 125/2025 (NIS2)</w:t>
      </w:r>
    </w:p>
    <w:p>
      <w:pPr>
        <w:jc w:val="center"/>
      </w:pPr>
      <w:r>
        <w:rPr>
          <w:b/>
          <w:color w:val="374151"/>
          <w:sz w:val="22"/>
        </w:rPr>
        <w:t xml:space="preserve">Versão: </w:t>
      </w:r>
      <w:r>
        <w:rPr>
          <w:color w:val="374151"/>
          <w:sz w:val="22"/>
        </w:rPr>
        <w:t>1.0</w:t>
      </w:r>
    </w:p>
    <w:p>
      <w:pPr>
        <w:jc w:val="center"/>
      </w:pPr>
      <w:r>
        <w:rPr>
          <w:b/>
          <w:color w:val="374151"/>
          <w:sz w:val="22"/>
        </w:rPr>
        <w:t xml:space="preserve">Data: </w:t>
      </w:r>
      <w:r>
        <w:rPr>
          <w:color w:val="374151"/>
          <w:sz w:val="22"/>
        </w:rPr>
        <w:t>09/04/2026</w:t>
      </w:r>
    </w:p>
    <w:p>
      <w:pPr>
        <w:jc w:val="center"/>
      </w:pPr>
      <w:r>
        <w:rPr>
          <w:b/>
          <w:color w:val="374151"/>
          <w:sz w:val="22"/>
        </w:rPr>
        <w:t xml:space="preserve">Classificação: </w:t>
      </w:r>
      <w:r>
        <w:rPr>
          <w:b/>
          <w:color w:val="DC2626"/>
          <w:sz w:val="22"/>
        </w:rPr>
        <w:t>Confidencial</w:t>
      </w:r>
    </w:p>
    <w:p/>
    <w:p>
      <w:pPr>
        <w:pStyle w:val="Heading1"/>
      </w:pPr>
      <w:r>
        <w:rPr>
          <w:b/>
          <w:color w:val="1E3A8A"/>
          <w:sz w:val="32"/>
        </w:rPr>
        <w:t>1. Objetivo e âmbito</w:t>
      </w:r>
    </w:p>
    <w:p>
      <w:r>
        <w:rPr>
          <w:color w:val="374151"/>
          <w:sz w:val="22"/>
        </w:rPr>
        <w:t>O presente plano de resposta a incidentes estabelece os procedimentos para deteção, contenção e recuperação de incidentes de cibersegurança no sector dos transportes, cobrindo os modos ferroviário, aéreo, marítimo e rodoviário, em conformidade com o Decreto-Lei n.º 125/2025.</w:t>
      </w:r>
    </w:p>
    <w:p>
      <w:r>
        <w:rPr>
          <w:color w:val="374151"/>
          <w:sz w:val="22"/>
        </w:rPr>
        <w:t>O sector dos transportes apresenta características únicas na resposta a incidentes: a prioridade é sempre a segurança física de passageiros e tripulações, e os procedimentos de contenção devem ser coordenados com os protocolos de segurança operacional de cada modo de transporte.</w:t>
      </w:r>
    </w:p>
    <w:p>
      <w:pPr>
        <w:pStyle w:val="Heading1"/>
      </w:pPr>
      <w:r>
        <w:rPr>
          <w:b/>
          <w:color w:val="1E3A8A"/>
          <w:sz w:val="32"/>
        </w:rPr>
        <w:t>2. Classificação de incidentes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Nível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Designação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Critérios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Tempo de resposta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P1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Crítico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Risco direto para segurança de passageiros; sistemas de controlo de tráfego comprometidos; ataque em curso a infraestrutura crítica de transporte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15 minutos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P2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Alto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Comprometimento de sistemas operacionais sem impacto imediato na segurança; interrupção significativa de serviços; exfiltração de dados de passageiros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1 hora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P3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Médio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Comprometimento de sistemas de suporte (bilhética, reservas); vulnerabilidade explorada em sistema não crítico; anomalia de segurança detetada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4 horas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P4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Baixo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Tentativa de acesso não autorizado bloqueada; alerta de segurança sem impacto operacional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24 horas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3. Contactos de notificação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Entidade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Canal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Prazo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Âmbito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IMT (Instituto da Mobilidade e dos Transportes)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Portal IMT / email oficial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24h alerta, &lt; 72h notificação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Transporte ferroviário, rodoviário, fluvial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ANAC (Autoridade Nacional de Aviação Civil)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Portal ANAC / email oficial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24h alerta, &lt; 72h notificação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Aviação civil, aeroportos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AMT (Autoridade da Mobilidade e dos Transportes)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Portal AMT / email oficial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24h alerta, &lt; 72h notificação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Transporte público urbano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CNCS (Centro Nacional de Cibersegurança)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cert@cncs.gov.pt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24h alerta, &lt; 72h notificação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Todos os incidentes de cibersegurança significativos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PJ (Polícia Judiciária — UNC3T)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Linha de cibercrime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Logo que possível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Incidentes com suspeita de crime informático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CNPD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Portal CNPD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72h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Incidentes com violação de dados pessoais de passageiros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4. Cenários de resposta detalhados</w:t>
      </w:r>
    </w:p>
    <w:p>
      <w:r>
        <w:rPr>
          <w:color w:val="374151"/>
          <w:sz w:val="22"/>
        </w:rPr>
        <w:t>Cenário 1: Ataque a sistema de sinalização ferroviária</w:t>
      </w:r>
    </w:p>
    <w:p>
      <w:r>
        <w:rPr>
          <w:color w:val="374151"/>
          <w:sz w:val="22"/>
        </w:rPr>
        <w:t>Deteção de anomalia ou comprometimento em sistema de sinalização ferroviária com potencial impacto na segurança dos comboios e passageiros.</w:t>
      </w:r>
    </w:p>
    <w:p>
      <w:pPr>
        <w:pStyle w:val="ListParagraph"/>
      </w:pPr>
      <w:r>
        <w:rPr>
          <w:color w:val="374151"/>
          <w:sz w:val="22"/>
        </w:rPr>
        <w:t>Alerta imediato à operação ferroviária: notificar controladores de tráfego e ativar protocolos de segurança ferroviária.</w:t>
      </w:r>
    </w:p>
    <w:p>
      <w:pPr>
        <w:pStyle w:val="ListParagraph"/>
      </w:pPr>
      <w:r>
        <w:rPr>
          <w:color w:val="374151"/>
          <w:sz w:val="22"/>
        </w:rPr>
        <w:t>Paragem preventiva de comboios: em caso de dúvida sobre integridade do sistema, parar comboios nas zonas afetadas.</w:t>
      </w:r>
    </w:p>
    <w:p>
      <w:pPr>
        <w:pStyle w:val="ListParagraph"/>
      </w:pPr>
      <w:r>
        <w:rPr>
          <w:color w:val="374151"/>
          <w:sz w:val="22"/>
        </w:rPr>
        <w:t>Isolamento do sistema comprometido: desligar da rede o componente de sinalização afetado sem perturbar sistemas adjacentes seguros.</w:t>
      </w:r>
    </w:p>
    <w:p>
      <w:pPr>
        <w:pStyle w:val="ListParagraph"/>
      </w:pPr>
      <w:r>
        <w:rPr>
          <w:color w:val="374151"/>
          <w:sz w:val="22"/>
        </w:rPr>
        <w:t>Notificação IMT e CNCS: alerta inicial em menos de 24 horas conforme Art. 34.º do DL 125/2025.</w:t>
      </w:r>
    </w:p>
    <w:p>
      <w:pPr>
        <w:pStyle w:val="ListParagraph"/>
      </w:pPr>
      <w:r>
        <w:rPr>
          <w:color w:val="374151"/>
          <w:sz w:val="22"/>
        </w:rPr>
        <w:t>Activação do modo de sinalização degradado: operar com sinalização manual ou backup até restauro do sistema principal.</w:t>
      </w:r>
    </w:p>
    <w:p>
      <w:pPr>
        <w:pStyle w:val="ListParagraph"/>
      </w:pPr>
      <w:r>
        <w:rPr>
          <w:color w:val="374151"/>
          <w:sz w:val="22"/>
        </w:rPr>
        <w:t>Análise forense: preservar logs do sistema ERTMS/ETCS e redes de comunicação para investigação.</w:t>
      </w:r>
    </w:p>
    <w:p>
      <w:pPr>
        <w:pStyle w:val="ListParagraph"/>
      </w:pPr>
      <w:r>
        <w:rPr>
          <w:color w:val="374151"/>
          <w:sz w:val="22"/>
        </w:rPr>
        <w:t>Restauro validado: só retomar sinalização automática após validação completa da integridade pelo fornecedor e engenheiros.</w:t>
      </w:r>
    </w:p>
    <w:p>
      <w:pPr>
        <w:pStyle w:val="ListParagraph"/>
      </w:pPr>
      <w:r>
        <w:rPr>
          <w:color w:val="374151"/>
          <w:sz w:val="22"/>
        </w:rPr>
        <w:t>Relatório às autoridades: relatório pós-incidente em 30 dias ao IMT e CNCS com análise de causa raiz.</w:t>
      </w:r>
    </w:p>
    <w:p/>
    <w:p>
      <w:r>
        <w:rPr>
          <w:color w:val="374151"/>
          <w:sz w:val="22"/>
        </w:rPr>
        <w:t>Cenário 2: Comprometimento de controlo de tráfego aéreo</w:t>
      </w:r>
    </w:p>
    <w:p>
      <w:r>
        <w:rPr>
          <w:color w:val="374151"/>
          <w:sz w:val="22"/>
        </w:rPr>
        <w:t>Incidente de cibersegurança que afeta sistemas de comunicação ou software de controlo de tráfego aéreo, com potencial impacto na segurança da aviação.</w:t>
      </w:r>
    </w:p>
    <w:p>
      <w:pPr>
        <w:pStyle w:val="ListParagraph"/>
      </w:pPr>
      <w:r>
        <w:rPr>
          <w:color w:val="374151"/>
          <w:sz w:val="22"/>
        </w:rPr>
        <w:t>Ativação imediata de procedimentos de emergência ATC: alternar para sistemas de backup e comunicações redundantes.</w:t>
      </w:r>
    </w:p>
    <w:p>
      <w:pPr>
        <w:pStyle w:val="ListParagraph"/>
      </w:pPr>
      <w:r>
        <w:rPr>
          <w:color w:val="374151"/>
          <w:sz w:val="22"/>
        </w:rPr>
        <w:t>Notificação NAV Portugal e ANAC: alerta imediato ao prestador de serviços de navegação aérea e autoridade de aviação civil.</w:t>
      </w:r>
    </w:p>
    <w:p>
      <w:pPr>
        <w:pStyle w:val="ListParagraph"/>
      </w:pPr>
      <w:r>
        <w:rPr>
          <w:color w:val="374151"/>
          <w:sz w:val="22"/>
        </w:rPr>
        <w:t>Coordenação com Eurocontrol: se impacto no espaço aéreo europeu, notificar Eurocontrol e centros ATC vizinhos.</w:t>
      </w:r>
    </w:p>
    <w:p>
      <w:pPr>
        <w:pStyle w:val="ListParagraph"/>
      </w:pPr>
      <w:r>
        <w:rPr>
          <w:color w:val="374151"/>
          <w:sz w:val="22"/>
        </w:rPr>
        <w:t>Notificação CNCS e IMT: incidente significativo reportado em conformidade com Art. 34.º do DL 125/2025.</w:t>
      </w:r>
    </w:p>
    <w:p>
      <w:pPr>
        <w:pStyle w:val="ListParagraph"/>
      </w:pPr>
      <w:r>
        <w:rPr>
          <w:color w:val="374151"/>
          <w:sz w:val="22"/>
        </w:rPr>
        <w:t>Contenção do incidente: isolar sistemas afetados mantendo sistemas de backup totalmente operacionais.</w:t>
      </w:r>
    </w:p>
    <w:p>
      <w:pPr>
        <w:pStyle w:val="ListParagraph"/>
      </w:pPr>
      <w:r>
        <w:rPr>
          <w:color w:val="374151"/>
          <w:sz w:val="22"/>
        </w:rPr>
        <w:t>Gestão do tráfego aéreo em modo degradado: reduzir capacidade se necessário, com coordenação internacional.</w:t>
      </w:r>
    </w:p>
    <w:p>
      <w:pPr>
        <w:pStyle w:val="ListParagraph"/>
      </w:pPr>
      <w:r>
        <w:rPr>
          <w:color w:val="374151"/>
          <w:sz w:val="22"/>
        </w:rPr>
        <w:t>Investigação forense especializada: envolver peritos em sistemas ATC para análise do vetor de ataque.</w:t>
      </w:r>
    </w:p>
    <w:p>
      <w:pPr>
        <w:pStyle w:val="ListParagraph"/>
      </w:pPr>
      <w:r>
        <w:rPr>
          <w:color w:val="374151"/>
          <w:sz w:val="22"/>
        </w:rPr>
        <w:t>Revisão de segurança pós-incidente: auditoria completa dos sistemas de comunicação e controlo de tráfego aéreo.</w:t>
      </w:r>
    </w:p>
    <w:p/>
    <w:p>
      <w:r>
        <w:rPr>
          <w:color w:val="374151"/>
          <w:sz w:val="22"/>
        </w:rPr>
        <w:t>Cenário 3: Ransomware em porto</w:t>
      </w:r>
    </w:p>
    <w:p>
      <w:r>
        <w:rPr>
          <w:color w:val="374151"/>
          <w:sz w:val="22"/>
        </w:rPr>
        <w:t>Ransomware que paralisa os sistemas de gestão de terminal portuário, incluindo sistemas de grua, rastreio de contentores e gestão de gates.</w:t>
      </w:r>
    </w:p>
    <w:p>
      <w:pPr>
        <w:pStyle w:val="ListParagraph"/>
      </w:pPr>
      <w:r>
        <w:rPr>
          <w:color w:val="374151"/>
          <w:sz w:val="22"/>
        </w:rPr>
        <w:t>Deteção e isolamento: identificar sistemas afetados e isolar da rede o terminal ou zona comprometida.</w:t>
      </w:r>
    </w:p>
    <w:p>
      <w:pPr>
        <w:pStyle w:val="ListParagraph"/>
      </w:pPr>
      <w:r>
        <w:rPr>
          <w:color w:val="374151"/>
          <w:sz w:val="22"/>
        </w:rPr>
        <w:t>Ativação do plano de continuidade portuária: operação manual de equipamentos e processos críticos.</w:t>
      </w:r>
    </w:p>
    <w:p>
      <w:pPr>
        <w:pStyle w:val="ListParagraph"/>
      </w:pPr>
      <w:r>
        <w:rPr>
          <w:color w:val="374151"/>
          <w:sz w:val="22"/>
        </w:rPr>
        <w:t>Notificação AMT e CNCS: alerta regulatório em menos de 24 horas ao Instituto da Mobilidade e CNCS.</w:t>
      </w:r>
    </w:p>
    <w:p>
      <w:pPr>
        <w:pStyle w:val="ListParagraph"/>
      </w:pPr>
      <w:r>
        <w:rPr>
          <w:color w:val="374151"/>
          <w:sz w:val="22"/>
        </w:rPr>
        <w:t>Comunicação com armadores e agentes: informar parceiros sobre impacto operacional e prazos de recuperação.</w:t>
      </w:r>
    </w:p>
    <w:p>
      <w:pPr>
        <w:pStyle w:val="ListParagraph"/>
      </w:pPr>
      <w:r>
        <w:rPr>
          <w:color w:val="374151"/>
          <w:sz w:val="22"/>
        </w:rPr>
        <w:t>Avaliação de backups: verificar disponibilidade e integridade de backups dos sistemas de gestão portuária.</w:t>
      </w:r>
    </w:p>
    <w:p>
      <w:pPr>
        <w:pStyle w:val="ListParagraph"/>
      </w:pPr>
      <w:r>
        <w:rPr>
          <w:color w:val="374151"/>
          <w:sz w:val="22"/>
        </w:rPr>
        <w:t>Não pagar resgate: coordenar com PJ e CNCS antes de qualquer decisão sobre pagamento de resgate.</w:t>
      </w:r>
    </w:p>
    <w:p>
      <w:pPr>
        <w:pStyle w:val="ListParagraph"/>
      </w:pPr>
      <w:r>
        <w:rPr>
          <w:color w:val="374151"/>
          <w:sz w:val="22"/>
        </w:rPr>
        <w:t>Recuperação faseada: restaurar sistemas por ordem de prioridade operacional com validação de segurança.</w:t>
      </w:r>
    </w:p>
    <w:p>
      <w:pPr>
        <w:pStyle w:val="ListParagraph"/>
      </w:pPr>
      <w:r>
        <w:rPr>
          <w:color w:val="374151"/>
          <w:sz w:val="22"/>
        </w:rPr>
        <w:t>Revisão de acessos e segmentação: após recuperação, implementar melhorias de segmentação e controlo de acessos.</w:t>
      </w:r>
    </w:p>
    <w:p/>
    <w:p>
      <w:r>
        <w:rPr>
          <w:color w:val="374151"/>
          <w:sz w:val="22"/>
        </w:rPr>
        <w:t>Cenário 4: Ataque GPS em frota de veículos</w:t>
      </w:r>
    </w:p>
    <w:p>
      <w:r>
        <w:rPr>
          <w:color w:val="374151"/>
          <w:sz w:val="22"/>
        </w:rPr>
        <w:t>Deteção de GPS spoofing ou jamming que afeta sistemas de navegação de frota de transporte rodoviário ou marítimo, perturbando operações logísticas.</w:t>
      </w:r>
    </w:p>
    <w:p>
      <w:pPr>
        <w:pStyle w:val="ListParagraph"/>
      </w:pPr>
      <w:r>
        <w:rPr>
          <w:color w:val="374151"/>
          <w:sz w:val="22"/>
        </w:rPr>
        <w:t>Deteção de anomalia GPS: sistemas de monitorização de frota detetam discrepâncias em dados de localização.</w:t>
      </w:r>
    </w:p>
    <w:p>
      <w:pPr>
        <w:pStyle w:val="ListParagraph"/>
      </w:pPr>
      <w:r>
        <w:rPr>
          <w:color w:val="374151"/>
          <w:sz w:val="22"/>
        </w:rPr>
        <w:t>Alerta à frota: notificar imediatamente todos os condutores/comandantes sobre possível perturbação GPS.</w:t>
      </w:r>
    </w:p>
    <w:p>
      <w:pPr>
        <w:pStyle w:val="ListParagraph"/>
      </w:pPr>
      <w:r>
        <w:rPr>
          <w:color w:val="374151"/>
          <w:sz w:val="22"/>
        </w:rPr>
        <w:t>Ativação de navegação alternativa: instrução para usar navegação alternativa (cartas, sinais visuais, LORAN).</w:t>
      </w:r>
    </w:p>
    <w:p>
      <w:pPr>
        <w:pStyle w:val="ListParagraph"/>
      </w:pPr>
      <w:r>
        <w:rPr>
          <w:color w:val="374151"/>
          <w:sz w:val="22"/>
        </w:rPr>
        <w:t>Identificação da fonte: coordenar com ANACOM para localização da fonte de perturbação.</w:t>
      </w:r>
    </w:p>
    <w:p>
      <w:pPr>
        <w:pStyle w:val="ListParagraph"/>
      </w:pPr>
      <w:r>
        <w:rPr>
          <w:color w:val="374151"/>
          <w:sz w:val="22"/>
        </w:rPr>
        <w:t>Notificação IMT e CNCS: reportar incidente às autoridades competentes com dados técnicos disponíveis.</w:t>
      </w:r>
    </w:p>
    <w:p>
      <w:pPr>
        <w:pStyle w:val="ListParagraph"/>
      </w:pPr>
      <w:r>
        <w:rPr>
          <w:color w:val="374151"/>
          <w:sz w:val="22"/>
        </w:rPr>
        <w:t>Adaptação operacional: reduzir velocidade de operação e aumentar intervalos de segurança até resolução.</w:t>
      </w:r>
    </w:p>
    <w:p>
      <w:pPr>
        <w:pStyle w:val="ListParagraph"/>
      </w:pPr>
      <w:r>
        <w:rPr>
          <w:color w:val="374151"/>
          <w:sz w:val="22"/>
        </w:rPr>
        <w:t>Investigação e registo: documentar impacto operacional e colaborar com investigação das autoridades.</w:t>
      </w:r>
    </w:p>
    <w:p>
      <w:pPr>
        <w:pStyle w:val="ListParagraph"/>
      </w:pPr>
      <w:r>
        <w:rPr>
          <w:color w:val="374151"/>
          <w:sz w:val="22"/>
        </w:rPr>
        <w:t>Medidas preventivas: avaliar implementação de sistemas anti-jamming e redundância de navegação.</w:t>
      </w:r>
    </w:p>
    <w:p/>
    <w:p>
      <w:pPr>
        <w:pStyle w:val="Heading1"/>
      </w:pPr>
      <w:r>
        <w:rPr>
          <w:b/>
          <w:color w:val="1E3A8A"/>
          <w:sz w:val="32"/>
        </w:rPr>
        <w:t>5. Coordenação com autoridades de segurança operacional</w:t>
      </w:r>
    </w:p>
    <w:p>
      <w:r>
        <w:rPr>
          <w:color w:val="374151"/>
          <w:sz w:val="22"/>
        </w:rPr>
        <w:t>Em incidentes que afetam sistemas críticos de transporte, a resposta de cibersegurança deve ser coordenada com as autoridades de segurança operacional de cada modo:</w:t>
      </w:r>
    </w:p>
    <w:p>
      <w:pPr>
        <w:pStyle w:val="ListParagraph"/>
      </w:pPr>
      <w:r>
        <w:rPr>
          <w:color w:val="374151"/>
          <w:sz w:val="22"/>
        </w:rPr>
        <w:t>Ferroviário: coordenação com Infraestruturas de Portugal (IP) para sinalização e com operadores ferroviários para gestão de comboios em circulação.</w:t>
      </w:r>
    </w:p>
    <w:p>
      <w:pPr>
        <w:pStyle w:val="ListParagraph"/>
      </w:pPr>
      <w:r>
        <w:rPr>
          <w:color w:val="374151"/>
          <w:sz w:val="22"/>
        </w:rPr>
        <w:t>Aéreo: coordenação com NAV Portugal para ATC, com ANA Aeroportos para sistemas aeroportuários, e com ANAC para regulação da segurança.</w:t>
      </w:r>
    </w:p>
    <w:p>
      <w:pPr>
        <w:pStyle w:val="ListParagraph"/>
      </w:pPr>
      <w:r>
        <w:rPr>
          <w:color w:val="374151"/>
          <w:sz w:val="22"/>
        </w:rPr>
        <w:t>Marítimo: coordenação com DGRM (Direção-Geral de Recursos Naturais, Segurança e Serviços Marítimos) e MRCC Lisboa para segurança marítima.</w:t>
      </w:r>
    </w:p>
    <w:p>
      <w:pPr>
        <w:pStyle w:val="ListParagraph"/>
      </w:pPr>
      <w:r>
        <w:rPr>
          <w:color w:val="374151"/>
          <w:sz w:val="22"/>
        </w:rPr>
        <w:t>Rodoviário: coordenação com GNR/PSP para incidentes com impacto na segurança rodoviária ou na rede nacional de autoestradas.</w:t>
      </w:r>
    </w:p>
    <w:p>
      <w:pPr>
        <w:pStyle w:val="Heading1"/>
      </w:pPr>
      <w:r>
        <w:rPr>
          <w:b/>
          <w:color w:val="1E3A8A"/>
          <w:sz w:val="32"/>
        </w:rPr>
        <w:t>6. Aprovação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Função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Nome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Assinatura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Data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CISO / Responsável de segurança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Diretor de operações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Responsável de conformidade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Órgão de gestão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</w:tbl>
    <w:p/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