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Plano de tratamento de riscos NIS2</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Objetivo e âmbito</w:t>
      </w:r>
    </w:p>
    <w:p>
      <w:r>
        <w:rPr>
          <w:color w:val="374151"/>
          <w:sz w:val="22"/>
        </w:rPr>
        <w:t>O presente plano de tratamento de riscos estabelece a metodologia e os procedimentos para gerir os riscos de cibersegurança identificados no âmbito da conformidade com o Decreto-Lei n.º 125/2025, que transpõe a Diretiva NIS2 para o ordenamento jurídico português. O plano define as opções de tratamento disponíveis, os critérios de decisão e as responsabilidades associadas.</w:t>
      </w:r>
    </w:p>
    <w:p>
      <w:r>
        <w:rPr>
          <w:color w:val="374151"/>
          <w:sz w:val="22"/>
        </w:rPr>
        <w:t>O tratamento de riscos é um processo contínuo que visa reduzir a exposição da organização a ameaças de cibersegurança para um nível aceite pelo órgão de gestão, tendo em conta a proporcionalidade exigida pelo Art. 28.º do DL 125/2025, que determina que as medidas de segurança devem ser adequadas ao nível de risco, à dimensão da entidade e ao impacto potencial dos incidentes.</w:t>
      </w:r>
    </w:p>
    <w:p>
      <w:r>
        <w:rPr>
          <w:color w:val="374151"/>
          <w:sz w:val="22"/>
        </w:rPr>
        <w:t>O âmbito deste plano abrange todos os sistemas de informação, redes, infraestruturas e serviços digitais da organização, bem como os riscos provenientes da cadeia de fornecimento de serviços de tecnologias de informação e comunicação. Aplica-se a todos os colaboradores, prestadores de serviços e parceiros que tratam informação ou acedem aos sistemas da organização.</w:t>
      </w:r>
    </w:p>
    <w:p>
      <w:r>
        <w:rPr>
          <w:color w:val="374151"/>
          <w:sz w:val="22"/>
        </w:rPr>
        <w:t>Referência legal: Art. 27.º alínea a) e Art. 28.º do DL 125/2025, que estabelecem a obrigação de implementar medidas de gestão do risco proporcionais e adequadas, e Art. 29.º que define a responsabilidade dos órgãos de gestão pela supervisão das medidas de cibersegurança.</w:t>
      </w:r>
    </w:p>
    <w:p>
      <w:pPr>
        <w:pStyle w:val="Heading1"/>
      </w:pPr>
      <w:r>
        <w:rPr>
          <w:b/>
          <w:color w:val="1E3A8A"/>
          <w:sz w:val="32"/>
        </w:rPr>
        <w:t>2. Enquadramento legal</w:t>
      </w:r>
    </w:p>
    <w:p>
      <w:r>
        <w:rPr>
          <w:color w:val="374151"/>
          <w:sz w:val="22"/>
        </w:rPr>
        <w:t>O presente plano enquadra-se nas seguintes disposições do Decreto-Lei n.º 125/2025, de 25 de março, que transpõe a Diretiva (UE) 2022/2555 (NIS2) para o direito português:</w:t>
      </w:r>
    </w:p>
    <w:p>
      <w:pPr>
        <w:pStyle w:val="ListParagraph"/>
      </w:pPr>
      <w:r>
        <w:rPr>
          <w:color w:val="374151"/>
          <w:sz w:val="22"/>
        </w:rPr>
        <w:t>Art. 27.º alínea a) — obrigação de implementar medidas de gestão do risco de cibersegurança, incluindo políticas de análise e avaliação dos riscos.</w:t>
      </w:r>
    </w:p>
    <w:p>
      <w:pPr>
        <w:pStyle w:val="ListParagraph"/>
      </w:pPr>
      <w:r>
        <w:rPr>
          <w:color w:val="374151"/>
          <w:sz w:val="22"/>
        </w:rPr>
        <w:t>Art. 28.º (proporcionalidade) — as medidas de segurança devem ser adequadas ao nível de risco, tendo em conta o estado da arte, os custos de implementação, a dimensão da entidade e a probabilidade e gravidade dos incidentes.</w:t>
      </w:r>
    </w:p>
    <w:p>
      <w:pPr>
        <w:pStyle w:val="ListParagraph"/>
      </w:pPr>
      <w:r>
        <w:rPr>
          <w:color w:val="374151"/>
          <w:sz w:val="22"/>
        </w:rPr>
        <w:t>Art. 29.º (responsabilidade da gestão) — os membros dos órgãos de gestão são responsáveis pela supervisão e aprovação das medidas de cibersegurança e podem ser responsabilizados pelo incumprimento.</w:t>
      </w:r>
    </w:p>
    <w:p>
      <w:pPr>
        <w:pStyle w:val="ListParagraph"/>
      </w:pPr>
      <w:r>
        <w:rPr>
          <w:color w:val="374151"/>
          <w:sz w:val="22"/>
        </w:rPr>
        <w:t>Art. 21.º n.º 1 da Diretiva NIS2 — as entidades devem adotar medidas técnicas, operacionais e organizativas adequadas e proporcionadas para gerir os riscos que se colocam à segurança das redes e sistemas de informação.</w:t>
      </w:r>
    </w:p>
    <w:p>
      <w:pPr>
        <w:pStyle w:val="ListParagraph"/>
      </w:pPr>
      <w:r>
        <w:rPr>
          <w:color w:val="374151"/>
          <w:sz w:val="22"/>
        </w:rPr>
        <w:t>Art. 52.º e 53.º do DL 125/2025 — regime sancionatório, com coimas até 10 000 000 EUR ou 2% do volume de negócios anual global para entidades essenciais.</w:t>
      </w:r>
    </w:p>
    <w:p>
      <w:r>
        <w:rPr>
          <w:color w:val="374151"/>
          <w:sz w:val="22"/>
        </w:rPr>
        <w:t>O tratamento de riscos deve ainda considerar as orientações do ENISA (Agência da União Europeia para a Cibersegurança) e as normas ISO/IEC 27001:2022 e ISO/IEC 27005:2022, que constituem o estado da arte em gestão de riscos de cibersegurança.</w:t>
      </w:r>
    </w:p>
    <w:p>
      <w:pPr>
        <w:pStyle w:val="Heading1"/>
      </w:pPr>
      <w:r>
        <w:rPr>
          <w:b/>
          <w:color w:val="1E3A8A"/>
          <w:sz w:val="32"/>
        </w:rPr>
        <w:t>3. Metodologia de tratamento de riscos</w:t>
      </w:r>
    </w:p>
    <w:p>
      <w:r>
        <w:rPr>
          <w:color w:val="374151"/>
          <w:sz w:val="22"/>
        </w:rPr>
        <w:t>A organização adota quatro opções de tratamento de riscos, em conformidade com a norma ISO/IEC 27005:2022 e as melhores práticas do setor. A seleção da opção de tratamento é determinada pelo nível de risco calculado, pelo custo de implementação dos controlos e pela tolerância ao risco definida pelo órgão de gestão.</w:t>
      </w:r>
    </w:p>
    <w:p>
      <w:r>
        <w:rPr>
          <w:color w:val="374151"/>
          <w:sz w:val="22"/>
        </w:rPr>
        <w:t>As quatro opções de tratamento disponíveis são as seguintes:</w:t>
      </w:r>
    </w:p>
    <w:p>
      <w:pPr>
        <w:pStyle w:val="ListParagraph"/>
      </w:pPr>
      <w:r>
        <w:rPr>
          <w:color w:val="374151"/>
          <w:sz w:val="22"/>
        </w:rPr>
        <w:t>Mitigação (redução): implementar controlos de segurança para reduzir a probabilidade de ocorrência e/ou o impacto do risco para um nível aceitável. É a opção preferida para riscos elevados e críticos que afetam serviços essenciais.</w:t>
      </w:r>
    </w:p>
    <w:p>
      <w:pPr>
        <w:pStyle w:val="ListParagraph"/>
      </w:pPr>
      <w:r>
        <w:rPr>
          <w:color w:val="374151"/>
          <w:sz w:val="22"/>
        </w:rPr>
        <w:t>Transferência (partilha): transferir o risco para terceiros através de seguros de ciberrisco, acordos contratuais com fornecedores ou subcontratação de serviços de segurança geridos (MSSP). Adequada para riscos residuais que não podem ser mitigados internamente de forma económica.</w:t>
      </w:r>
    </w:p>
    <w:p>
      <w:pPr>
        <w:pStyle w:val="ListParagraph"/>
      </w:pPr>
      <w:r>
        <w:rPr>
          <w:color w:val="374151"/>
          <w:sz w:val="22"/>
        </w:rPr>
        <w:t>Aceitação: aceitar o risco sem implementar controlos adicionais, quando o custo de mitigação supera o impacto esperado e o nível de risco está dentro da tolerância definida. Requer aprovação formal do órgão de gestão e registo documentado.</w:t>
      </w:r>
    </w:p>
    <w:p>
      <w:pPr>
        <w:pStyle w:val="ListParagraph"/>
      </w:pPr>
      <w:r>
        <w:rPr>
          <w:color w:val="374151"/>
          <w:sz w:val="22"/>
        </w:rPr>
        <w:t>Eliminação (evitamento): eliminar a atividade ou processo que gera o risco, quando as outras opções não são viáveis ou adequadas. Pode implicar a descontinuação de sistemas legados, a cessação de atividades de elevado risco ou a alteração fundamental de processos.</w:t>
      </w:r>
    </w:p>
    <w:p>
      <w:r>
        <w:rPr>
          <w:color w:val="374151"/>
          <w:sz w:val="22"/>
        </w:rPr>
        <w:t>Os critérios de decisão para seleção da opção de tratamento baseiam-se numa análise custo-benefício, na criticidade do serviço afetado, nos requisitos regulatórios aplicáveis e na tolerância ao risco definida. Para riscos classificados como críticos, a mitigação é obrigatória, independentemente do custo.</w:t>
      </w:r>
    </w:p>
    <w:p>
      <w:pPr>
        <w:pStyle w:val="Heading1"/>
      </w:pPr>
      <w:r>
        <w:rPr>
          <w:b/>
          <w:color w:val="1E3A8A"/>
          <w:sz w:val="32"/>
        </w:rPr>
        <w:t>4. Registo de riscos e plano de tratamento</w:t>
      </w:r>
    </w:p>
    <w:p>
      <w:r>
        <w:rPr>
          <w:color w:val="374151"/>
          <w:sz w:val="22"/>
        </w:rPr>
        <w:t>Todos os riscos identificados e as respetivas opções de tratamento devem ser registados na seguinte tabela, que constitui o registo oficial de riscos da organização. Este registo deve ser revisto com periodicidade mínima anual ou sempre que ocorram alterações significativas ao ambiente tecnológico ou ao contexto de ameaças.</w:t>
      </w:r>
    </w:p>
    <w:tbl>
      <w:tblPr>
        <w:tblStyle w:val="TableGrid"/>
        <w:tblW w:type="auto" w:w="0"/>
        <w:tblLook w:firstColumn="1" w:firstRow="1" w:lastColumn="0" w:lastRow="0" w:noHBand="0" w:noVBand="1" w:val="04A0"/>
      </w:tblPr>
      <w:tblGrid>
        <w:gridCol w:w="1176"/>
        <w:gridCol w:w="1176"/>
        <w:gridCol w:w="1176"/>
        <w:gridCol w:w="1176"/>
        <w:gridCol w:w="1176"/>
        <w:gridCol w:w="1176"/>
        <w:gridCol w:w="1176"/>
        <w:gridCol w:w="1176"/>
      </w:tblGrid>
      <w:tr>
        <w:tc>
          <w:tcPr>
            <w:tcW w:type="dxa" w:w="1176"/>
            <w:shd w:color="1e3a8a" w:val="solid"/>
            <w:vAlign w:val="center"/>
          </w:tcPr>
          <w:p>
            <w:pPr>
              <w:jc w:val="center"/>
            </w:pPr>
            <w:r/>
            <w:r>
              <w:rPr>
                <w:b/>
                <w:color w:val="FFFFFF"/>
                <w:sz w:val="22"/>
              </w:rPr>
              <w:t>ID</w:t>
            </w:r>
          </w:p>
        </w:tc>
        <w:tc>
          <w:tcPr>
            <w:tcW w:type="dxa" w:w="1176"/>
            <w:shd w:color="1e3a8a" w:val="solid"/>
            <w:vAlign w:val="center"/>
          </w:tcPr>
          <w:p>
            <w:pPr>
              <w:jc w:val="center"/>
            </w:pPr>
            <w:r/>
            <w:r>
              <w:rPr>
                <w:b/>
                <w:color w:val="FFFFFF"/>
                <w:sz w:val="22"/>
              </w:rPr>
              <w:t>Risco</w:t>
            </w:r>
          </w:p>
        </w:tc>
        <w:tc>
          <w:tcPr>
            <w:tcW w:type="dxa" w:w="1176"/>
            <w:shd w:color="1e3a8a" w:val="solid"/>
            <w:vAlign w:val="center"/>
          </w:tcPr>
          <w:p>
            <w:pPr>
              <w:jc w:val="center"/>
            </w:pPr>
            <w:r/>
            <w:r>
              <w:rPr>
                <w:b/>
                <w:color w:val="FFFFFF"/>
                <w:sz w:val="22"/>
              </w:rPr>
              <w:t>Nível</w:t>
            </w:r>
          </w:p>
        </w:tc>
        <w:tc>
          <w:tcPr>
            <w:tcW w:type="dxa" w:w="1176"/>
            <w:shd w:color="1e3a8a" w:val="solid"/>
            <w:vAlign w:val="center"/>
          </w:tcPr>
          <w:p>
            <w:pPr>
              <w:jc w:val="center"/>
            </w:pPr>
            <w:r/>
            <w:r>
              <w:rPr>
                <w:b/>
                <w:color w:val="FFFFFF"/>
                <w:sz w:val="22"/>
              </w:rPr>
              <w:t>Opção</w:t>
            </w:r>
          </w:p>
        </w:tc>
        <w:tc>
          <w:tcPr>
            <w:tcW w:type="dxa" w:w="1176"/>
            <w:shd w:color="1e3a8a" w:val="solid"/>
            <w:vAlign w:val="center"/>
          </w:tcPr>
          <w:p>
            <w:pPr>
              <w:jc w:val="center"/>
            </w:pPr>
            <w:r/>
            <w:r>
              <w:rPr>
                <w:b/>
                <w:color w:val="FFFFFF"/>
                <w:sz w:val="22"/>
              </w:rPr>
              <w:t>Controlo proposto</w:t>
            </w:r>
          </w:p>
        </w:tc>
        <w:tc>
          <w:tcPr>
            <w:tcW w:type="dxa" w:w="1176"/>
            <w:shd w:color="1e3a8a" w:val="solid"/>
            <w:vAlign w:val="center"/>
          </w:tcPr>
          <w:p>
            <w:pPr>
              <w:jc w:val="center"/>
            </w:pPr>
            <w:r/>
            <w:r>
              <w:rPr>
                <w:b/>
                <w:color w:val="FFFFFF"/>
                <w:sz w:val="22"/>
              </w:rPr>
              <w:t>Responsável</w:t>
            </w:r>
          </w:p>
        </w:tc>
        <w:tc>
          <w:tcPr>
            <w:tcW w:type="dxa" w:w="1176"/>
            <w:shd w:color="1e3a8a" w:val="solid"/>
            <w:vAlign w:val="center"/>
          </w:tcPr>
          <w:p>
            <w:pPr>
              <w:jc w:val="center"/>
            </w:pPr>
            <w:r/>
            <w:r>
              <w:rPr>
                <w:b/>
                <w:color w:val="FFFFFF"/>
                <w:sz w:val="22"/>
              </w:rPr>
              <w:t>Prazo</w:t>
            </w:r>
          </w:p>
        </w:tc>
        <w:tc>
          <w:tcPr>
            <w:tcW w:type="dxa" w:w="1176"/>
            <w:shd w:color="1e3a8a" w:val="solid"/>
            <w:vAlign w:val="center"/>
          </w:tcPr>
          <w:p>
            <w:pPr>
              <w:jc w:val="center"/>
            </w:pPr>
            <w:r/>
            <w:r>
              <w:rPr>
                <w:b/>
                <w:color w:val="FFFFFF"/>
                <w:sz w:val="22"/>
              </w:rPr>
              <w:t>Estado</w:t>
            </w:r>
          </w:p>
        </w:tc>
      </w:tr>
      <w:tr>
        <w:tc>
          <w:tcPr>
            <w:tcW w:type="dxa" w:w="1176"/>
          </w:tcPr>
          <w:p>
            <w:r/>
            <w:r>
              <w:rPr>
                <w:color w:val="374151"/>
                <w:sz w:val="22"/>
              </w:rPr>
              <w:t>R001</w:t>
            </w:r>
          </w:p>
        </w:tc>
        <w:tc>
          <w:tcPr>
            <w:tcW w:type="dxa" w:w="1176"/>
          </w:tcPr>
          <w:p>
            <w:r/>
            <w:r>
              <w:rPr>
                <w:color w:val="374151"/>
                <w:sz w:val="22"/>
              </w:rPr>
              <w:t>Acesso não autorizado a sistemas críticos</w:t>
            </w:r>
          </w:p>
        </w:tc>
        <w:tc>
          <w:tcPr>
            <w:tcW w:type="dxa" w:w="1176"/>
          </w:tcPr>
          <w:p>
            <w:r/>
            <w:r>
              <w:rPr>
                <w:color w:val="374151"/>
                <w:sz w:val="22"/>
              </w:rPr>
              <w:t>Alto</w:t>
            </w:r>
          </w:p>
        </w:tc>
        <w:tc>
          <w:tcPr>
            <w:tcW w:type="dxa" w:w="1176"/>
          </w:tcPr>
          <w:p>
            <w:r/>
            <w:r>
              <w:rPr>
                <w:color w:val="374151"/>
                <w:sz w:val="22"/>
              </w:rPr>
              <w:t>Mitigação</w:t>
            </w:r>
          </w:p>
        </w:tc>
        <w:tc>
          <w:tcPr>
            <w:tcW w:type="dxa" w:w="1176"/>
          </w:tcPr>
          <w:p>
            <w:r/>
            <w:r>
              <w:rPr>
                <w:color w:val="374151"/>
                <w:sz w:val="22"/>
              </w:rPr>
              <w:t>Implementar MFA e controlo de acessos privilegiados</w:t>
            </w:r>
          </w:p>
        </w:tc>
        <w:tc>
          <w:tcPr>
            <w:tcW w:type="dxa" w:w="1176"/>
          </w:tcPr>
          <w:p>
            <w:r/>
            <w:r>
              <w:rPr>
                <w:color w:val="374151"/>
                <w:sz w:val="22"/>
              </w:rPr>
              <w:t>[CISO]</w:t>
            </w:r>
          </w:p>
        </w:tc>
        <w:tc>
          <w:tcPr>
            <w:tcW w:type="dxa" w:w="1176"/>
          </w:tcPr>
          <w:p>
            <w:r/>
            <w:r>
              <w:rPr>
                <w:color w:val="374151"/>
                <w:sz w:val="22"/>
              </w:rPr>
              <w:t>Q2 2026</w:t>
            </w:r>
          </w:p>
        </w:tc>
        <w:tc>
          <w:tcPr>
            <w:tcW w:type="dxa" w:w="1176"/>
          </w:tcPr>
          <w:p>
            <w:r/>
            <w:r>
              <w:rPr>
                <w:color w:val="374151"/>
                <w:sz w:val="22"/>
              </w:rPr>
              <w:t>Em curso</w:t>
            </w:r>
          </w:p>
        </w:tc>
      </w:tr>
      <w:tr>
        <w:tc>
          <w:tcPr>
            <w:tcW w:type="dxa" w:w="1176"/>
          </w:tcPr>
          <w:p>
            <w:r/>
            <w:r>
              <w:rPr>
                <w:color w:val="374151"/>
                <w:sz w:val="22"/>
              </w:rPr>
              <w:t>R002</w:t>
            </w:r>
          </w:p>
        </w:tc>
        <w:tc>
          <w:tcPr>
            <w:tcW w:type="dxa" w:w="1176"/>
          </w:tcPr>
          <w:p>
            <w:r/>
            <w:r>
              <w:rPr>
                <w:color w:val="374151"/>
                <w:sz w:val="22"/>
              </w:rPr>
              <w:t>Ransomware em infraestrutura crítica</w:t>
            </w:r>
          </w:p>
        </w:tc>
        <w:tc>
          <w:tcPr>
            <w:tcW w:type="dxa" w:w="1176"/>
          </w:tcPr>
          <w:p>
            <w:r/>
            <w:r>
              <w:rPr>
                <w:color w:val="374151"/>
                <w:sz w:val="22"/>
              </w:rPr>
              <w:t>Crítico</w:t>
            </w:r>
          </w:p>
        </w:tc>
        <w:tc>
          <w:tcPr>
            <w:tcW w:type="dxa" w:w="1176"/>
          </w:tcPr>
          <w:p>
            <w:r/>
            <w:r>
              <w:rPr>
                <w:color w:val="374151"/>
                <w:sz w:val="22"/>
              </w:rPr>
              <w:t>Mitigação</w:t>
            </w:r>
          </w:p>
        </w:tc>
        <w:tc>
          <w:tcPr>
            <w:tcW w:type="dxa" w:w="1176"/>
          </w:tcPr>
          <w:p>
            <w:r/>
            <w:r>
              <w:rPr>
                <w:color w:val="374151"/>
                <w:sz w:val="22"/>
              </w:rPr>
              <w:t>Backups offline, segmentação de rede, EDR</w:t>
            </w:r>
          </w:p>
        </w:tc>
        <w:tc>
          <w:tcPr>
            <w:tcW w:type="dxa" w:w="1176"/>
          </w:tcPr>
          <w:p>
            <w:r/>
            <w:r>
              <w:rPr>
                <w:color w:val="374151"/>
                <w:sz w:val="22"/>
              </w:rPr>
              <w:t>[CISO]</w:t>
            </w:r>
          </w:p>
        </w:tc>
        <w:tc>
          <w:tcPr>
            <w:tcW w:type="dxa" w:w="1176"/>
          </w:tcPr>
          <w:p>
            <w:r/>
            <w:r>
              <w:rPr>
                <w:color w:val="374151"/>
                <w:sz w:val="22"/>
              </w:rPr>
              <w:t>Q1 2026</w:t>
            </w:r>
          </w:p>
        </w:tc>
        <w:tc>
          <w:tcPr>
            <w:tcW w:type="dxa" w:w="1176"/>
          </w:tcPr>
          <w:p>
            <w:r/>
            <w:r>
              <w:rPr>
                <w:color w:val="374151"/>
                <w:sz w:val="22"/>
              </w:rPr>
              <w:t>Concluído</w:t>
            </w:r>
          </w:p>
        </w:tc>
      </w:tr>
      <w:tr>
        <w:tc>
          <w:tcPr>
            <w:tcW w:type="dxa" w:w="1176"/>
          </w:tcPr>
          <w:p>
            <w:r/>
            <w:r>
              <w:rPr>
                <w:color w:val="374151"/>
                <w:sz w:val="22"/>
              </w:rPr>
              <w:t>R003</w:t>
            </w:r>
          </w:p>
        </w:tc>
        <w:tc>
          <w:tcPr>
            <w:tcW w:type="dxa" w:w="1176"/>
          </w:tcPr>
          <w:p>
            <w:r/>
            <w:r>
              <w:rPr>
                <w:color w:val="374151"/>
                <w:sz w:val="22"/>
              </w:rPr>
              <w:t>Falha de fornecedor crítico de TIC</w:t>
            </w:r>
          </w:p>
        </w:tc>
        <w:tc>
          <w:tcPr>
            <w:tcW w:type="dxa" w:w="1176"/>
          </w:tcPr>
          <w:p>
            <w:r/>
            <w:r>
              <w:rPr>
                <w:color w:val="374151"/>
                <w:sz w:val="22"/>
              </w:rPr>
              <w:t>Médio</w:t>
            </w:r>
          </w:p>
        </w:tc>
        <w:tc>
          <w:tcPr>
            <w:tcW w:type="dxa" w:w="1176"/>
          </w:tcPr>
          <w:p>
            <w:r/>
            <w:r>
              <w:rPr>
                <w:color w:val="374151"/>
                <w:sz w:val="22"/>
              </w:rPr>
              <w:t>Transferência</w:t>
            </w:r>
          </w:p>
        </w:tc>
        <w:tc>
          <w:tcPr>
            <w:tcW w:type="dxa" w:w="1176"/>
          </w:tcPr>
          <w:p>
            <w:r/>
            <w:r>
              <w:rPr>
                <w:color w:val="374151"/>
                <w:sz w:val="22"/>
              </w:rPr>
              <w:t>Cláusulas contratuais SLA + seguro ciberrisco</w:t>
            </w:r>
          </w:p>
        </w:tc>
        <w:tc>
          <w:tcPr>
            <w:tcW w:type="dxa" w:w="1176"/>
          </w:tcPr>
          <w:p>
            <w:r/>
            <w:r>
              <w:rPr>
                <w:color w:val="374151"/>
                <w:sz w:val="22"/>
              </w:rPr>
              <w:t>[Jurídico]</w:t>
            </w:r>
          </w:p>
        </w:tc>
        <w:tc>
          <w:tcPr>
            <w:tcW w:type="dxa" w:w="1176"/>
          </w:tcPr>
          <w:p>
            <w:r/>
            <w:r>
              <w:rPr>
                <w:color w:val="374151"/>
                <w:sz w:val="22"/>
              </w:rPr>
              <w:t>Q3 2026</w:t>
            </w:r>
          </w:p>
        </w:tc>
        <w:tc>
          <w:tcPr>
            <w:tcW w:type="dxa" w:w="1176"/>
          </w:tcPr>
          <w:p>
            <w:r/>
            <w:r>
              <w:rPr>
                <w:color w:val="374151"/>
                <w:sz w:val="22"/>
              </w:rPr>
              <w:t>Planeado</w:t>
            </w:r>
          </w:p>
        </w:tc>
      </w:tr>
      <w:tr>
        <w:tc>
          <w:tcPr>
            <w:tcW w:type="dxa" w:w="1176"/>
          </w:tcPr>
          <w:p>
            <w:r/>
            <w:r>
              <w:rPr>
                <w:color w:val="374151"/>
                <w:sz w:val="22"/>
              </w:rPr>
              <w:t>R004</w:t>
            </w:r>
          </w:p>
        </w:tc>
        <w:tc>
          <w:tcPr>
            <w:tcW w:type="dxa" w:w="1176"/>
          </w:tcPr>
          <w:p>
            <w:r/>
            <w:r>
              <w:rPr>
                <w:color w:val="374151"/>
                <w:sz w:val="22"/>
              </w:rPr>
              <w:t>Divulgação não autorizada de dados pessoais</w:t>
            </w:r>
          </w:p>
        </w:tc>
        <w:tc>
          <w:tcPr>
            <w:tcW w:type="dxa" w:w="1176"/>
          </w:tcPr>
          <w:p>
            <w:r/>
            <w:r>
              <w:rPr>
                <w:color w:val="374151"/>
                <w:sz w:val="22"/>
              </w:rPr>
              <w:t>Alto</w:t>
            </w:r>
          </w:p>
        </w:tc>
        <w:tc>
          <w:tcPr>
            <w:tcW w:type="dxa" w:w="1176"/>
          </w:tcPr>
          <w:p>
            <w:r/>
            <w:r>
              <w:rPr>
                <w:color w:val="374151"/>
                <w:sz w:val="22"/>
              </w:rPr>
              <w:t>Mitigação</w:t>
            </w:r>
          </w:p>
        </w:tc>
        <w:tc>
          <w:tcPr>
            <w:tcW w:type="dxa" w:w="1176"/>
          </w:tcPr>
          <w:p>
            <w:r/>
            <w:r>
              <w:rPr>
                <w:color w:val="374151"/>
                <w:sz w:val="22"/>
              </w:rPr>
              <w:t>Criptografia, DLP, formação de colaboradores</w:t>
            </w:r>
          </w:p>
        </w:tc>
        <w:tc>
          <w:tcPr>
            <w:tcW w:type="dxa" w:w="1176"/>
          </w:tcPr>
          <w:p>
            <w:r/>
            <w:r>
              <w:rPr>
                <w:color w:val="374151"/>
                <w:sz w:val="22"/>
              </w:rPr>
              <w:t>[DPO]</w:t>
            </w:r>
          </w:p>
        </w:tc>
        <w:tc>
          <w:tcPr>
            <w:tcW w:type="dxa" w:w="1176"/>
          </w:tcPr>
          <w:p>
            <w:r/>
            <w:r>
              <w:rPr>
                <w:color w:val="374151"/>
                <w:sz w:val="22"/>
              </w:rPr>
              <w:t>Q2 2026</w:t>
            </w:r>
          </w:p>
        </w:tc>
        <w:tc>
          <w:tcPr>
            <w:tcW w:type="dxa" w:w="1176"/>
          </w:tcPr>
          <w:p>
            <w:r/>
            <w:r>
              <w:rPr>
                <w:color w:val="374151"/>
                <w:sz w:val="22"/>
              </w:rPr>
              <w:t>Em curso</w:t>
            </w:r>
          </w:p>
        </w:tc>
      </w:tr>
      <w:tr>
        <w:tc>
          <w:tcPr>
            <w:tcW w:type="dxa" w:w="1176"/>
          </w:tcPr>
          <w:p>
            <w:r/>
            <w:r>
              <w:rPr>
                <w:color w:val="374151"/>
                <w:sz w:val="22"/>
              </w:rPr>
              <w:t>R005</w:t>
            </w:r>
          </w:p>
        </w:tc>
        <w:tc>
          <w:tcPr>
            <w:tcW w:type="dxa" w:w="1176"/>
          </w:tcPr>
          <w:p>
            <w:r/>
            <w:r>
              <w:rPr>
                <w:color w:val="374151"/>
                <w:sz w:val="22"/>
              </w:rPr>
              <w:t>Indisponibilidade de serviço por DDoS</w:t>
            </w:r>
          </w:p>
        </w:tc>
        <w:tc>
          <w:tcPr>
            <w:tcW w:type="dxa" w:w="1176"/>
          </w:tcPr>
          <w:p>
            <w:r/>
            <w:r>
              <w:rPr>
                <w:color w:val="374151"/>
                <w:sz w:val="22"/>
              </w:rPr>
              <w:t>Médio</w:t>
            </w:r>
          </w:p>
        </w:tc>
        <w:tc>
          <w:tcPr>
            <w:tcW w:type="dxa" w:w="1176"/>
          </w:tcPr>
          <w:p>
            <w:r/>
            <w:r>
              <w:rPr>
                <w:color w:val="374151"/>
                <w:sz w:val="22"/>
              </w:rPr>
              <w:t>Transferência</w:t>
            </w:r>
          </w:p>
        </w:tc>
        <w:tc>
          <w:tcPr>
            <w:tcW w:type="dxa" w:w="1176"/>
          </w:tcPr>
          <w:p>
            <w:r/>
            <w:r>
              <w:rPr>
                <w:color w:val="374151"/>
                <w:sz w:val="22"/>
              </w:rPr>
              <w:t>Serviço anti-DDoS contratado com ISP</w:t>
            </w:r>
          </w:p>
        </w:tc>
        <w:tc>
          <w:tcPr>
            <w:tcW w:type="dxa" w:w="1176"/>
          </w:tcPr>
          <w:p>
            <w:r/>
            <w:r>
              <w:rPr>
                <w:color w:val="374151"/>
                <w:sz w:val="22"/>
              </w:rPr>
              <w:t>[IT]</w:t>
            </w:r>
          </w:p>
        </w:tc>
        <w:tc>
          <w:tcPr>
            <w:tcW w:type="dxa" w:w="1176"/>
          </w:tcPr>
          <w:p>
            <w:r/>
            <w:r>
              <w:rPr>
                <w:color w:val="374151"/>
                <w:sz w:val="22"/>
              </w:rPr>
              <w:t>Q2 2026</w:t>
            </w:r>
          </w:p>
        </w:tc>
        <w:tc>
          <w:tcPr>
            <w:tcW w:type="dxa" w:w="1176"/>
          </w:tcPr>
          <w:p>
            <w:r/>
            <w:r>
              <w:rPr>
                <w:color w:val="374151"/>
                <w:sz w:val="22"/>
              </w:rPr>
              <w:t>Planeado</w:t>
            </w:r>
          </w:p>
        </w:tc>
      </w:tr>
    </w:tbl>
    <w:p/>
    <w:p>
      <w:pPr>
        <w:pStyle w:val="Heading1"/>
      </w:pPr>
      <w:r>
        <w:rPr>
          <w:b/>
          <w:color w:val="1E3A8A"/>
          <w:sz w:val="32"/>
        </w:rPr>
        <w:t>5. Critérios de aceitação de risco</w:t>
      </w:r>
    </w:p>
    <w:p>
      <w:r>
        <w:rPr>
          <w:color w:val="374151"/>
          <w:sz w:val="22"/>
        </w:rPr>
        <w:t>A organização define os seguintes critérios de aceitação de risco, aprovados pelo órgão de gestão. A aceitação formal de um risco requer documentação escrita, incluindo a justificação, a avaliação de alternativas e a aprovação da entidade competente em função do nível de risco.</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Nível de risco</w:t>
            </w:r>
          </w:p>
        </w:tc>
        <w:tc>
          <w:tcPr>
            <w:tcW w:type="dxa" w:w="2351"/>
            <w:shd w:color="1e3a8a" w:val="solid"/>
            <w:vAlign w:val="center"/>
          </w:tcPr>
          <w:p>
            <w:pPr>
              <w:jc w:val="center"/>
            </w:pPr>
            <w:r/>
            <w:r>
              <w:rPr>
                <w:b/>
                <w:color w:val="FFFFFF"/>
                <w:sz w:val="22"/>
              </w:rPr>
              <w:t>Critério de aceitação</w:t>
            </w:r>
          </w:p>
        </w:tc>
        <w:tc>
          <w:tcPr>
            <w:tcW w:type="dxa" w:w="2351"/>
            <w:shd w:color="1e3a8a" w:val="solid"/>
            <w:vAlign w:val="center"/>
          </w:tcPr>
          <w:p>
            <w:pPr>
              <w:jc w:val="center"/>
            </w:pPr>
            <w:r/>
            <w:r>
              <w:rPr>
                <w:b/>
                <w:color w:val="FFFFFF"/>
                <w:sz w:val="22"/>
              </w:rPr>
              <w:t>Aprovação necessária</w:t>
            </w:r>
          </w:p>
        </w:tc>
        <w:tc>
          <w:tcPr>
            <w:tcW w:type="dxa" w:w="2351"/>
            <w:shd w:color="1e3a8a" w:val="solid"/>
            <w:vAlign w:val="center"/>
          </w:tcPr>
          <w:p>
            <w:pPr>
              <w:jc w:val="center"/>
            </w:pPr>
            <w:r/>
            <w:r>
              <w:rPr>
                <w:b/>
                <w:color w:val="FFFFFF"/>
                <w:sz w:val="22"/>
              </w:rPr>
              <w:t>Revisão</w:t>
            </w:r>
          </w:p>
        </w:tc>
      </w:tr>
      <w:tr>
        <w:tc>
          <w:tcPr>
            <w:tcW w:type="dxa" w:w="2351"/>
          </w:tcPr>
          <w:p>
            <w:r/>
            <w:r>
              <w:rPr>
                <w:color w:val="374151"/>
                <w:sz w:val="22"/>
              </w:rPr>
              <w:t>Baixo (1-3)</w:t>
            </w:r>
          </w:p>
        </w:tc>
        <w:tc>
          <w:tcPr>
            <w:tcW w:type="dxa" w:w="2351"/>
          </w:tcPr>
          <w:p>
            <w:r/>
            <w:r>
              <w:rPr>
                <w:color w:val="374151"/>
                <w:sz w:val="22"/>
              </w:rPr>
              <w:t>Aceitável sem controlos adicionais</w:t>
            </w:r>
          </w:p>
        </w:tc>
        <w:tc>
          <w:tcPr>
            <w:tcW w:type="dxa" w:w="2351"/>
          </w:tcPr>
          <w:p>
            <w:r/>
            <w:r>
              <w:rPr>
                <w:color w:val="374151"/>
                <w:sz w:val="22"/>
              </w:rPr>
              <w:t>Responsável de área</w:t>
            </w:r>
          </w:p>
        </w:tc>
        <w:tc>
          <w:tcPr>
            <w:tcW w:type="dxa" w:w="2351"/>
          </w:tcPr>
          <w:p>
            <w:r/>
            <w:r>
              <w:rPr>
                <w:color w:val="374151"/>
                <w:sz w:val="22"/>
              </w:rPr>
              <w:t>Anual</w:t>
            </w:r>
          </w:p>
        </w:tc>
      </w:tr>
      <w:tr>
        <w:tc>
          <w:tcPr>
            <w:tcW w:type="dxa" w:w="2351"/>
          </w:tcPr>
          <w:p>
            <w:r/>
            <w:r>
              <w:rPr>
                <w:color w:val="374151"/>
                <w:sz w:val="22"/>
              </w:rPr>
              <w:t>Médio (4-6)</w:t>
            </w:r>
          </w:p>
        </w:tc>
        <w:tc>
          <w:tcPr>
            <w:tcW w:type="dxa" w:w="2351"/>
          </w:tcPr>
          <w:p>
            <w:r/>
            <w:r>
              <w:rPr>
                <w:color w:val="374151"/>
                <w:sz w:val="22"/>
              </w:rPr>
              <w:t>Aceitável com monitorização documentada</w:t>
            </w:r>
          </w:p>
        </w:tc>
        <w:tc>
          <w:tcPr>
            <w:tcW w:type="dxa" w:w="2351"/>
          </w:tcPr>
          <w:p>
            <w:r/>
            <w:r>
              <w:rPr>
                <w:color w:val="374151"/>
                <w:sz w:val="22"/>
              </w:rPr>
              <w:t>CISO</w:t>
            </w:r>
          </w:p>
        </w:tc>
        <w:tc>
          <w:tcPr>
            <w:tcW w:type="dxa" w:w="2351"/>
          </w:tcPr>
          <w:p>
            <w:r/>
            <w:r>
              <w:rPr>
                <w:color w:val="374151"/>
                <w:sz w:val="22"/>
              </w:rPr>
              <w:t>Semestral</w:t>
            </w:r>
          </w:p>
        </w:tc>
      </w:tr>
      <w:tr>
        <w:tc>
          <w:tcPr>
            <w:tcW w:type="dxa" w:w="2351"/>
          </w:tcPr>
          <w:p>
            <w:r/>
            <w:r>
              <w:rPr>
                <w:color w:val="374151"/>
                <w:sz w:val="22"/>
              </w:rPr>
              <w:t>Alto (7-8)</w:t>
            </w:r>
          </w:p>
        </w:tc>
        <w:tc>
          <w:tcPr>
            <w:tcW w:type="dxa" w:w="2351"/>
          </w:tcPr>
          <w:p>
            <w:r/>
            <w:r>
              <w:rPr>
                <w:color w:val="374151"/>
                <w:sz w:val="22"/>
              </w:rPr>
              <w:t>Aceitável apenas com justificação formal</w:t>
            </w:r>
          </w:p>
        </w:tc>
        <w:tc>
          <w:tcPr>
            <w:tcW w:type="dxa" w:w="2351"/>
          </w:tcPr>
          <w:p>
            <w:r/>
            <w:r>
              <w:rPr>
                <w:color w:val="374151"/>
                <w:sz w:val="22"/>
              </w:rPr>
              <w:t>CISO + Órgão de gestão</w:t>
            </w:r>
          </w:p>
        </w:tc>
        <w:tc>
          <w:tcPr>
            <w:tcW w:type="dxa" w:w="2351"/>
          </w:tcPr>
          <w:p>
            <w:r/>
            <w:r>
              <w:rPr>
                <w:color w:val="374151"/>
                <w:sz w:val="22"/>
              </w:rPr>
              <w:t>Trimestral</w:t>
            </w:r>
          </w:p>
        </w:tc>
      </w:tr>
      <w:tr>
        <w:tc>
          <w:tcPr>
            <w:tcW w:type="dxa" w:w="2351"/>
          </w:tcPr>
          <w:p>
            <w:r/>
            <w:r>
              <w:rPr>
                <w:color w:val="374151"/>
                <w:sz w:val="22"/>
              </w:rPr>
              <w:t>Crítico (9-10)</w:t>
            </w:r>
          </w:p>
        </w:tc>
        <w:tc>
          <w:tcPr>
            <w:tcW w:type="dxa" w:w="2351"/>
          </w:tcPr>
          <w:p>
            <w:r/>
            <w:r>
              <w:rPr>
                <w:color w:val="374151"/>
                <w:sz w:val="22"/>
              </w:rPr>
              <w:t>Não aceitável — mitigação obrigatória</w:t>
            </w:r>
          </w:p>
        </w:tc>
        <w:tc>
          <w:tcPr>
            <w:tcW w:type="dxa" w:w="2351"/>
          </w:tcPr>
          <w:p>
            <w:r/>
            <w:r>
              <w:rPr>
                <w:color w:val="374151"/>
                <w:sz w:val="22"/>
              </w:rPr>
              <w:t>Órgão de gestão</w:t>
            </w:r>
          </w:p>
        </w:tc>
        <w:tc>
          <w:tcPr>
            <w:tcW w:type="dxa" w:w="2351"/>
          </w:tcPr>
          <w:p>
            <w:r/>
            <w:r>
              <w:rPr>
                <w:color w:val="374151"/>
                <w:sz w:val="22"/>
              </w:rPr>
              <w:t>Mensal</w:t>
            </w:r>
          </w:p>
        </w:tc>
      </w:tr>
    </w:tbl>
    <w:p/>
    <w:p>
      <w:pPr>
        <w:pStyle w:val="Heading1"/>
      </w:pPr>
      <w:r>
        <w:rPr>
          <w:b/>
          <w:color w:val="1E3A8A"/>
          <w:sz w:val="32"/>
        </w:rPr>
        <w:t>6. Plano de implementação de controlos</w:t>
      </w:r>
    </w:p>
    <w:p>
      <w:r>
        <w:rPr>
          <w:color w:val="374151"/>
          <w:sz w:val="22"/>
        </w:rPr>
        <w:t>Os controlos de segurança selecionados como opção de tratamento devem ser implementados de acordo com o seguinte plano, com priorização baseada no nível de risco e na criticidade dos serviços afetados. O plano é revisto trimestralmente pelo CISO e reportado ao órgão de gestão.</w:t>
      </w:r>
    </w:p>
    <w:p>
      <w:pPr>
        <w:pStyle w:val="ListParagraph"/>
      </w:pPr>
      <w:r>
        <w:rPr>
          <w:color w:val="374151"/>
          <w:sz w:val="22"/>
        </w:rPr>
        <w:t>Prioridade 1 (imediata, 0-30 dias): controlos para riscos críticos que afetam serviços essenciais — autenticação multifator, backups testados, monitorização de segurança.</w:t>
      </w:r>
    </w:p>
    <w:p>
      <w:pPr>
        <w:pStyle w:val="ListParagraph"/>
      </w:pPr>
      <w:r>
        <w:rPr>
          <w:color w:val="374151"/>
          <w:sz w:val="22"/>
        </w:rPr>
        <w:t>Prioridade 2 (curto prazo, 30-90 dias): controlos para riscos elevados — segmentação de rede, gestão de vulnerabilidades, formação de colaboradores, criptografia de dados em repouso.</w:t>
      </w:r>
    </w:p>
    <w:p>
      <w:pPr>
        <w:pStyle w:val="ListParagraph"/>
      </w:pPr>
      <w:r>
        <w:rPr>
          <w:color w:val="374151"/>
          <w:sz w:val="22"/>
        </w:rPr>
        <w:t>Prioridade 3 (médio prazo, 90-180 dias): controlos para riscos médios — revisão de acessos, testes de penetração, plano de continuidade de negócio, programa de sensibilização.</w:t>
      </w:r>
    </w:p>
    <w:p>
      <w:pPr>
        <w:pStyle w:val="ListParagraph"/>
      </w:pPr>
      <w:r>
        <w:rPr>
          <w:color w:val="374151"/>
          <w:sz w:val="22"/>
        </w:rPr>
        <w:t>Prioridade 4 (longo prazo, 180-365 dias): controlos para melhoria contínua — automação de deteção, zero trust architecture, revisão da cadeia de fornecimento, certificação ISO 27001.</w:t>
      </w:r>
    </w:p>
    <w:p>
      <w:r>
        <w:rPr>
          <w:color w:val="374151"/>
          <w:sz w:val="22"/>
        </w:rPr>
        <w:t>Os recursos necessários para implementação dos controlos incluem orçamento dedicado à cibersegurança, pessoal qualificado interno ou externo, ferramentas tecnológicas adequadas e tempo de gestão para supervisão e aprovação. O orçamento deve ser aprovado pelo órgão de gestão anualmente.</w:t>
      </w:r>
    </w:p>
    <w:p>
      <w:pPr>
        <w:pStyle w:val="Heading1"/>
      </w:pPr>
      <w:r>
        <w:rPr>
          <w:b/>
          <w:color w:val="1E3A8A"/>
          <w:sz w:val="32"/>
        </w:rPr>
        <w:t>7. Monitorização e revisão</w:t>
      </w:r>
    </w:p>
    <w:p>
      <w:r>
        <w:rPr>
          <w:color w:val="374151"/>
          <w:sz w:val="22"/>
        </w:rPr>
        <w:t>A eficácia das medidas de tratamento implementadas é monitorizada através de indicadores-chave de desempenho (KPIs) e reportada ao órgão de gestão com periodicidade trimestral. A revisão do plano de tratamento de riscos é realizada com frequência mínima anual ou quando ocorrem alterações significativas.</w:t>
      </w:r>
    </w:p>
    <w:p>
      <w:pPr>
        <w:pStyle w:val="ListParagraph"/>
      </w:pPr>
      <w:r>
        <w:rPr>
          <w:color w:val="374151"/>
          <w:sz w:val="22"/>
        </w:rPr>
        <w:t>KPI 1: percentagem de riscos críticos com controlos implementados (objetivo: 100%).</w:t>
      </w:r>
    </w:p>
    <w:p>
      <w:pPr>
        <w:pStyle w:val="ListParagraph"/>
      </w:pPr>
      <w:r>
        <w:rPr>
          <w:color w:val="374151"/>
          <w:sz w:val="22"/>
        </w:rPr>
        <w:t>KPI 2: tempo médio de implementação de controlos para riscos altos (objetivo: menos de 90 dias).</w:t>
      </w:r>
    </w:p>
    <w:p>
      <w:pPr>
        <w:pStyle w:val="ListParagraph"/>
      </w:pPr>
      <w:r>
        <w:rPr>
          <w:color w:val="374151"/>
          <w:sz w:val="22"/>
        </w:rPr>
        <w:t>KPI 3: número de riscos residuais acima do nível de tolerância (objetivo: zero para riscos críticos).</w:t>
      </w:r>
    </w:p>
    <w:p>
      <w:pPr>
        <w:pStyle w:val="ListParagraph"/>
      </w:pPr>
      <w:r>
        <w:rPr>
          <w:color w:val="374151"/>
          <w:sz w:val="22"/>
        </w:rPr>
        <w:t>KPI 4: percentagem de controlos com eficácia verificada por auditoria ou teste (objetivo: 80%).</w:t>
      </w:r>
    </w:p>
    <w:p>
      <w:r>
        <w:rPr>
          <w:color w:val="374151"/>
          <w:sz w:val="22"/>
        </w:rPr>
        <w:t>A revisão anual do plano deve incluir a atualização do registo de riscos com novos riscos identificados, a reavaliação dos riscos existentes face às alterações do ambiente de ameaças, a verificação da eficácia dos controlos implementados e a aprovação formal pelo órgão de gestão, conforme exigido pelo Art. 29.º do DL 125/2025.</w:t>
      </w:r>
    </w:p>
    <w:p>
      <w:pPr>
        <w:pStyle w:val="Heading1"/>
      </w:pPr>
      <w:r>
        <w:rPr>
          <w:b/>
          <w:color w:val="1E3A8A"/>
          <w:sz w:val="32"/>
        </w:rPr>
        <w:t>8. Aprovação</w:t>
      </w:r>
    </w:p>
    <w:p>
      <w:r>
        <w:rPr>
          <w:color w:val="374151"/>
          <w:sz w:val="22"/>
        </w:rPr>
        <w:t>O presente plano de tratamento de riscos foi revisto e aprovado pelas seguintes entidades, que confirmam o seu alinhamento com os requisitos do Decreto-Lei n.º 125/2025 e com a estratégia de cibersegurança da organização:</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Função</w:t>
            </w:r>
          </w:p>
        </w:tc>
        <w:tc>
          <w:tcPr>
            <w:tcW w:type="dxa" w:w="2351"/>
            <w:shd w:color="1e3a8a" w:val="solid"/>
            <w:vAlign w:val="center"/>
          </w:tcPr>
          <w:p>
            <w:pPr>
              <w:jc w:val="center"/>
            </w:pPr>
            <w:r/>
            <w:r>
              <w:rPr>
                <w:b/>
                <w:color w:val="FFFFFF"/>
                <w:sz w:val="22"/>
              </w:rPr>
              <w:t>Nome</w:t>
            </w:r>
          </w:p>
        </w:tc>
        <w:tc>
          <w:tcPr>
            <w:tcW w:type="dxa" w:w="2351"/>
            <w:shd w:color="1e3a8a" w:val="solid"/>
            <w:vAlign w:val="center"/>
          </w:tcPr>
          <w:p>
            <w:pPr>
              <w:jc w:val="center"/>
            </w:pPr>
            <w:r/>
            <w:r>
              <w:rPr>
                <w:b/>
                <w:color w:val="FFFFFF"/>
                <w:sz w:val="22"/>
              </w:rPr>
              <w:t>Assinatura</w:t>
            </w:r>
          </w:p>
        </w:tc>
        <w:tc>
          <w:tcPr>
            <w:tcW w:type="dxa" w:w="2351"/>
            <w:shd w:color="1e3a8a" w:val="solid"/>
            <w:vAlign w:val="center"/>
          </w:tcPr>
          <w:p>
            <w:pPr>
              <w:jc w:val="center"/>
            </w:pPr>
            <w:r/>
            <w:r>
              <w:rPr>
                <w:b/>
                <w:color w:val="FFFFFF"/>
                <w:sz w:val="22"/>
              </w:rPr>
              <w:t>Data</w:t>
            </w:r>
          </w:p>
        </w:tc>
      </w:tr>
      <w:tr>
        <w:tc>
          <w:tcPr>
            <w:tcW w:type="dxa" w:w="2351"/>
          </w:tcPr>
          <w:p>
            <w:r/>
            <w:r>
              <w:rPr>
                <w:color w:val="374151"/>
                <w:sz w:val="22"/>
              </w:rPr>
              <w:t>CISO (Chief Information Security Officer)</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Órgão de gestão / Administração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Responsável de conformidade (Compliance Officer)</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Encarregado de Proteção de Dados (DPO)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bl>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