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Playbook de resposta a ataques DDoS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Este playbook define os procedimentos operacionais para detetar, conter e recuperar de ataques de negação de serviço distribuída (DDoS) que visem a infraestrutura de rede ou os serviços digitais da organização. O documento aplica-se a todos os incidentes que provoquem degradação ou indisponibilidade de serviços, independentemente da sua origem ou duração.</w:t>
      </w:r>
    </w:p>
    <w:p>
      <w:r>
        <w:rPr>
          <w:color w:val="374151"/>
          <w:sz w:val="22"/>
        </w:rPr>
        <w:t>Em conformidade com o Art. 27.º alínea b) do Decreto-Lei n.º 125/2025, a organização é obrigada a implementar procedimentos documentados para tratamento de incidentes, incluindo mecanismos de resposta que garantam a continuidade dos serviços essenciais. Um ataque DDoS bem-sucedido pode constituir um incidente de segurança notificável ao CNCS se causar impacto significativo na prestação de serviços.</w:t>
      </w:r>
    </w:p>
    <w:p>
      <w:r>
        <w:rPr>
          <w:color w:val="374151"/>
          <w:sz w:val="22"/>
        </w:rPr>
        <w:t>Âmbito: aplica-se a todos os sistemas acessíveis a partir da internet, incluindo sítios web, APIs, serviços de e-mail, sistemas de DNS e infraestrutura de rede. A equipa de resposta é composta pelo CISO, pelo responsável de operações de TI e pelo gestor de continuidade de negócio.</w:t>
      </w:r>
    </w:p>
    <w:p>
      <w:pPr>
        <w:pStyle w:val="Heading1"/>
      </w:pPr>
      <w:r>
        <w:rPr>
          <w:b/>
          <w:color w:val="1E3A8A"/>
          <w:sz w:val="32"/>
        </w:rPr>
        <w:t>2. Indicadores de comprometimento</w:t>
      </w:r>
    </w:p>
    <w:p>
      <w:r>
        <w:rPr>
          <w:color w:val="374151"/>
          <w:sz w:val="22"/>
        </w:rPr>
        <w:t>A deteção atempada de um ataque DDoS é crítica para minimizar o impacto operacional. Os seguintes indicadores devem ser monitorizados continuamente pelo SOC ou pela equipa de operações de TI, com alertas automáticos configurados nos sistemas de monitorização.</w:t>
      </w:r>
    </w:p>
    <w:p>
      <w:pPr>
        <w:pStyle w:val="ListParagraph"/>
      </w:pPr>
      <w:r>
        <w:rPr>
          <w:color w:val="374151"/>
          <w:sz w:val="22"/>
        </w:rPr>
        <w:t>Volumétricos: picos súbitos de tráfego de rede superiores a 10 Gbps ou 200% da média histórica, aumento anormal de pacotes UDP, ICMP ou SYN por segundo, esgotamento de largura de banda no uplink.</w:t>
      </w:r>
    </w:p>
    <w:p>
      <w:pPr>
        <w:pStyle w:val="ListParagraph"/>
      </w:pPr>
      <w:r>
        <w:rPr>
          <w:color w:val="374151"/>
          <w:sz w:val="22"/>
        </w:rPr>
        <w:t>Protocolo: anomalias em fragmentação IP, floods de SYN sem completar handshake TCP, pacotes malformados ou fora de especificação RFC.</w:t>
      </w:r>
    </w:p>
    <w:p>
      <w:pPr>
        <w:pStyle w:val="ListParagraph"/>
      </w:pPr>
      <w:r>
        <w:rPr>
          <w:color w:val="374151"/>
          <w:sz w:val="22"/>
        </w:rPr>
        <w:t>Aplicacional (Layer 7): número de pedidos HTTP por segundo superior a 50 000, taxa de erros 503/504 acima de 5%, tempo de resposta médio superior a 5 segundos, padrões de user-agent anómalos.</w:t>
      </w:r>
    </w:p>
    <w:p>
      <w:pPr>
        <w:pStyle w:val="ListParagraph"/>
      </w:pPr>
      <w:r>
        <w:rPr>
          <w:color w:val="374151"/>
          <w:sz w:val="22"/>
        </w:rPr>
        <w:t>Operacionais: alertas de disponibilidade em ferramentas de monitorização (Nagios, Zabbix, Datadog), queixas de utilizadores sobre indisponibilidade, tickets de suporte em volume incomum.</w:t>
      </w:r>
    </w:p>
    <w:p>
      <w:pPr>
        <w:pStyle w:val="Heading1"/>
      </w:pPr>
      <w:r>
        <w:rPr>
          <w:b/>
          <w:color w:val="1E3A8A"/>
          <w:sz w:val="32"/>
        </w:rPr>
        <w:t>3. Contenção e mitigação</w:t>
      </w:r>
    </w:p>
    <w:p>
      <w:r>
        <w:rPr>
          <w:color w:val="374151"/>
          <w:sz w:val="22"/>
        </w:rPr>
        <w:t>A contenção de um ataque DDoS deve ser iniciada imediatamente após a confirmação do incidente, seguindo a sequência de ações definida abaixo. O objetivo é restabelecer a disponibilidade dos serviços críticos no menor tempo possível, minimizando o impacto nos utilizadores legítimos.</w:t>
      </w:r>
    </w:p>
    <w:p>
      <w:pPr>
        <w:pStyle w:val="ListParagraph"/>
      </w:pPr>
      <w:r>
        <w:rPr>
          <w:color w:val="374151"/>
          <w:sz w:val="22"/>
        </w:rPr>
        <w:t>Passo 1 — Ativar proteção CDN/WAF: ativar regras de rate limiting e desafios CAPTCHA no CDN (Cloudflare, Akamai, AWS Shield). Configurar regras de bloqueio geográfico se o tráfego for concentrado em regiões sem utilizadores legítimos.</w:t>
      </w:r>
    </w:p>
    <w:p>
      <w:pPr>
        <w:pStyle w:val="ListParagraph"/>
      </w:pPr>
      <w:r>
        <w:rPr>
          <w:color w:val="374151"/>
          <w:sz w:val="22"/>
        </w:rPr>
        <w:t>Passo 2 — Blackholing seletivo: em coordenação com o ISP, ativar blackholing para os IPs ou redes de origem do ataque. Utilizar BGP FlowSpec para filtrar tráfego malicioso na camada de rede, antes de chegar à infraestrutura interna.</w:t>
      </w:r>
    </w:p>
    <w:p>
      <w:pPr>
        <w:pStyle w:val="ListParagraph"/>
      </w:pPr>
      <w:r>
        <w:rPr>
          <w:color w:val="374151"/>
          <w:sz w:val="22"/>
        </w:rPr>
        <w:t>Passo 3 — Reencaminhamento de tráfego (scrubbing): ativar serviço de limpeza de tráfego (scrubbing center) do ISP ou de fornecedor especializado. O tráfego legítimo é reencaminhado para os sistemas após filtragem.</w:t>
      </w:r>
    </w:p>
    <w:p>
      <w:pPr>
        <w:pStyle w:val="ListParagraph"/>
      </w:pPr>
      <w:r>
        <w:rPr>
          <w:color w:val="374151"/>
          <w:sz w:val="22"/>
        </w:rPr>
        <w:t>Passo 4 — Escalamento de recursos: ativar auto-scaling em ambiente cloud para aumentar a capacidade de absorção. Distribuir a carga por múltiplas regiões geográficas se disponível.</w:t>
      </w:r>
    </w:p>
    <w:p>
      <w:r>
        <w:rPr>
          <w:color w:val="374151"/>
          <w:sz w:val="22"/>
        </w:rPr>
        <w:t>Limiares de decisão: ataques inferiores a 1 Gbps — mitigação por WAF/CDN; entre 1 e 10 Gbps — ativar scrubbing do ISP; superior a 10 Gbps — blackholing + scrubbing + escalamento para fornecedor especializado DDoS.</w:t>
      </w:r>
    </w:p>
    <w:p>
      <w:pPr>
        <w:pStyle w:val="Heading1"/>
      </w:pPr>
      <w:r>
        <w:rPr>
          <w:b/>
          <w:color w:val="1E3A8A"/>
          <w:sz w:val="32"/>
        </w:rPr>
        <w:t>4. Comunicações durante o incidente</w:t>
      </w:r>
    </w:p>
    <w:p>
      <w:r>
        <w:rPr>
          <w:color w:val="374151"/>
          <w:sz w:val="22"/>
        </w:rPr>
        <w:t>A comunicação durante um incidente DDoS deve ser gerida de forma centralizada pelo CISO ou pelo responsável designado, seguindo os canais e os destinatários definidos. A comunicação inadequada ou extemporânea pode agravar o impacto reputacional e regulatório do incidente.</w:t>
      </w:r>
    </w:p>
    <w:p>
      <w:pPr>
        <w:pStyle w:val="ListParagraph"/>
      </w:pPr>
      <w:r>
        <w:rPr>
          <w:color w:val="374151"/>
          <w:sz w:val="22"/>
        </w:rPr>
        <w:t>Comunicação interna: notificar imediatamente a direção executiva, o responsável de comunicação e as equipas de suporte ao cliente. Utilizar canal de comunicação alternativo (Teams, Signal) caso os sistemas de e-mail estejam afetados.</w:t>
      </w:r>
    </w:p>
    <w:p>
      <w:pPr>
        <w:pStyle w:val="ListParagraph"/>
      </w:pPr>
      <w:r>
        <w:rPr>
          <w:color w:val="374151"/>
          <w:sz w:val="22"/>
        </w:rPr>
        <w:t>Comunicação a clientes: publicar mensagem de estado no sítio de status (status page) com informação sobre a degradação de serviço, a causa (incidente de segurança) e o tempo estimado de resolução, se conhecido.</w:t>
      </w:r>
    </w:p>
    <w:p>
      <w:pPr>
        <w:pStyle w:val="ListParagraph"/>
      </w:pPr>
      <w:r>
        <w:rPr>
          <w:color w:val="374151"/>
          <w:sz w:val="22"/>
        </w:rPr>
        <w:t>Comunicação regulatória: se o ataque causar indisponibilidade superior a 4 horas em serviços essenciais, avaliar a obrigação de notificação ao CNCS no prazo de 24 horas, conforme Art. 34.º do DL 125/2025.</w:t>
      </w:r>
    </w:p>
    <w:p>
      <w:pPr>
        <w:pStyle w:val="ListParagraph"/>
      </w:pPr>
      <w:r>
        <w:rPr>
          <w:color w:val="374151"/>
          <w:sz w:val="22"/>
        </w:rPr>
        <w:t>Fornecedores: contactar ISP, fornecedor CDN/WAF e fornecedor de scrubbing. Registar todos os contactos, os tempos de resposta e as ações acordadas no registo de incidente.</w:t>
      </w:r>
    </w:p>
    <w:p>
      <w:pPr>
        <w:pStyle w:val="Heading1"/>
      </w:pPr>
      <w:r>
        <w:rPr>
          <w:b/>
          <w:color w:val="1E3A8A"/>
          <w:sz w:val="32"/>
        </w:rPr>
        <w:t>5. Recuperação</w:t>
      </w:r>
    </w:p>
    <w:p>
      <w:r>
        <w:rPr>
          <w:color w:val="374151"/>
          <w:sz w:val="22"/>
        </w:rPr>
        <w:t>Após a mitigação do ataque, a fase de recuperação visa restabelecer completamente a operação normal dos serviços e verificar a integridade dos sistemas. Esta fase inclui a validação de que os sistemas não foram comprometidos durante o período de ataque.</w:t>
      </w:r>
    </w:p>
    <w:p>
      <w:pPr>
        <w:pStyle w:val="ListParagraph"/>
      </w:pPr>
      <w:r>
        <w:rPr>
          <w:color w:val="374151"/>
          <w:sz w:val="22"/>
        </w:rPr>
        <w:t>Restabelecimento gradual: reativar serviços de forma faseada, começando pelos mais críticos. Monitorizar o tráfego em tempo real durante pelo menos 2 horas após o restabelecimento para detetar eventuais recidivas.</w:t>
      </w:r>
    </w:p>
    <w:p>
      <w:pPr>
        <w:pStyle w:val="ListParagraph"/>
      </w:pPr>
      <w:r>
        <w:rPr>
          <w:color w:val="374151"/>
          <w:sz w:val="22"/>
        </w:rPr>
        <w:t>Verificação de integridade: confirmar que nenhum sistema foi comprometido durante o período de ataque, verificando logs de acesso, alterações de configuração e integridade de ficheiros em sistemas críticos.</w:t>
      </w:r>
    </w:p>
    <w:p>
      <w:pPr>
        <w:pStyle w:val="ListParagraph"/>
      </w:pPr>
      <w:r>
        <w:rPr>
          <w:color w:val="374151"/>
          <w:sz w:val="22"/>
        </w:rPr>
        <w:t>Comunicação de resolução: publicar mensagem de resolução no status page e comunicar ao CNCS o encerramento do incidente, se tiver sido feita notificação prévia.</w:t>
      </w:r>
    </w:p>
    <w:p>
      <w:pPr>
        <w:pStyle w:val="Heading1"/>
      </w:pPr>
      <w:r>
        <w:rPr>
          <w:b/>
          <w:color w:val="1E3A8A"/>
          <w:sz w:val="32"/>
        </w:rPr>
        <w:t>6. Lições aprendidas</w:t>
      </w:r>
    </w:p>
    <w:p>
      <w:r>
        <w:rPr>
          <w:color w:val="374151"/>
          <w:sz w:val="22"/>
        </w:rPr>
        <w:t>Após cada incidente DDoS, deve ser realizada uma reunião de revisão pós-incidente (post-mortem) no prazo de 5 dias úteis. O objetivo é identificar as causas raiz, avaliar a eficácia da resposta e implementar melhorias que reduzam o impacto de futuros ataques.</w:t>
      </w:r>
    </w:p>
    <w:p>
      <w:r>
        <w:rPr>
          <w:color w:val="374151"/>
          <w:sz w:val="22"/>
        </w:rPr>
        <w:t>O relatório de lições aprendidas deve documentar: a cronologia do incidente, a eficácia das medidas de contenção, os tempos de resposta face aos objetivos definidos, os pontos de falha identificados e as ações corretivas a implementar. Este relatório integra o registo de incidentes exigido pelo Art. 36.º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operações de TI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