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Playbook de resposta a ameaça interna</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w:t>
      </w:r>
    </w:p>
    <w:p>
      <w:r>
        <w:rPr>
          <w:color w:val="374151"/>
          <w:sz w:val="22"/>
        </w:rPr>
        <w:t>Este playbook define os procedimentos para identificar, investigar e responder a incidentes de ameaça interna, envolvendo colaboradores, prestadores de serviços ou parceiros com acesso legítimo aos sistemas e dados da organização. A ameaça interna constitui um dos vetores de risco mais significativos e de mais difícil deteção.</w:t>
      </w:r>
    </w:p>
    <w:p>
      <w:r>
        <w:rPr>
          <w:color w:val="374151"/>
          <w:sz w:val="22"/>
        </w:rPr>
        <w:t>Em conformidade com o Art. 27.º alínea e) do Decreto-Lei n.º 125/2025, a organização deve implementar políticas e procedimentos de segurança dos recursos humanos, incluindo mecanismos de controlo de acessos e monitorização de comportamentos anómalos. Este playbook deve ser utilizado em conjugação com o código de conduta da organização e o enquadramento legal laboral aplicável.</w:t>
      </w:r>
    </w:p>
    <w:p>
      <w:r>
        <w:rPr>
          <w:color w:val="374151"/>
          <w:sz w:val="22"/>
        </w:rPr>
        <w:t>A resposta a ameaças internas requer equilíbrio entre a necessidade de proteger a organização e o respeito pelos direitos dos colaboradores, incluindo os previstos no Regulamento Geral sobre a Proteção de Dados (RGPD) e no Código do Trabalho. Qualquer investigação deve envolver os Recursos Humanos e o Departamento Jurídico desde o início.</w:t>
      </w:r>
    </w:p>
    <w:p>
      <w:pPr>
        <w:pStyle w:val="Heading1"/>
      </w:pPr>
      <w:r>
        <w:rPr>
          <w:b/>
          <w:color w:val="1E3A8A"/>
          <w:sz w:val="32"/>
        </w:rPr>
        <w:t>2. Tipos de ameaça interna</w:t>
      </w:r>
    </w:p>
    <w:p>
      <w:r>
        <w:rPr>
          <w:color w:val="374151"/>
          <w:sz w:val="22"/>
        </w:rPr>
        <w:t>As ameaças internas classificam-se em dois tipos principais, com motivações, indicadores e respostas distintas. A correta classificação do tipo de ameaça orienta a investigação e determina as medidas de resposta adequadas.</w:t>
      </w:r>
    </w:p>
    <w:p>
      <w:pPr>
        <w:pStyle w:val="ListParagraph"/>
      </w:pPr>
      <w:r>
        <w:rPr>
          <w:color w:val="374151"/>
          <w:sz w:val="22"/>
        </w:rPr>
        <w:t>Ameaça maliciosa: colaborador ou prestador que, de forma intencional, exfiltra dados, sabota sistemas, comete fraude ou partilha informação confidencial com concorrentes ou agentes externos. Inclui situações de coação por terceiros (insider recrutado por ator externo).</w:t>
      </w:r>
    </w:p>
    <w:p>
      <w:pPr>
        <w:pStyle w:val="ListParagraph"/>
      </w:pPr>
      <w:r>
        <w:rPr>
          <w:color w:val="374151"/>
          <w:sz w:val="22"/>
        </w:rPr>
        <w:t>Ameaça negligente: colaborador que, por desconhecimento ou descuido, coloca a organização em risco — clica em links de phishing, partilha credenciais, utiliza dispositivos pessoais sem autorização ou envia dados para destinatários errados. Representa cerca de 60% dos incidentes de ameaça interna.</w:t>
      </w:r>
    </w:p>
    <w:p>
      <w:pPr>
        <w:pStyle w:val="ListParagraph"/>
      </w:pPr>
      <w:r>
        <w:rPr>
          <w:color w:val="374151"/>
          <w:sz w:val="22"/>
        </w:rPr>
        <w:t>Ameaça acidental: incidentes sem intenção nem negligência, resultantes de configurações incorretas ou erros operacionais com impacto de segurança. Requerem ação corretiva mas não investigação disciplinar.</w:t>
      </w:r>
    </w:p>
    <w:p>
      <w:pPr>
        <w:pStyle w:val="Heading1"/>
      </w:pPr>
      <w:r>
        <w:rPr>
          <w:b/>
          <w:color w:val="1E3A8A"/>
          <w:sz w:val="32"/>
        </w:rPr>
        <w:t>3. Indicadores comportamentais</w:t>
      </w:r>
    </w:p>
    <w:p>
      <w:r>
        <w:rPr>
          <w:color w:val="374151"/>
          <w:sz w:val="22"/>
        </w:rPr>
        <w:t>A deteção precoce de ameaças internas baseia-se na identificação de padrões comportamentais anómalos, combinando sinais técnicos e não técnicos. Os indicadores abaixo devem ser monitorizados continuamente pelas ferramentas de User and Entity Behavior Analytics (UEBA) e reportados ao CISO.</w:t>
      </w:r>
    </w:p>
    <w:p>
      <w:pPr>
        <w:pStyle w:val="ListParagraph"/>
      </w:pPr>
      <w:r>
        <w:rPr>
          <w:color w:val="374151"/>
          <w:sz w:val="22"/>
        </w:rPr>
        <w:t>Técnicos: acesso a dados fora do horário habitual, downloads em volume anormal, acesso a sistemas fora do âmbito de funções, utilização de suportes amovíveis não autorizados, envio de e-mails com anexos para endereços externos não habituais, tentativas de escalamento de privilégios.</w:t>
      </w:r>
    </w:p>
    <w:p>
      <w:pPr>
        <w:pStyle w:val="ListParagraph"/>
      </w:pPr>
      <w:r>
        <w:rPr>
          <w:color w:val="374151"/>
          <w:sz w:val="22"/>
        </w:rPr>
        <w:t>Comportamentais: colaborador com intenção declarada de saída a trabalhar fora do horário, pedidos incomuns de acesso a informação sensível, conflitos com a chefia, sinais de stress financeiro, resistência a auditoria de acessos.</w:t>
      </w:r>
    </w:p>
    <w:p>
      <w:pPr>
        <w:pStyle w:val="ListParagraph"/>
      </w:pPr>
      <w:r>
        <w:rPr>
          <w:color w:val="374151"/>
          <w:sz w:val="22"/>
        </w:rPr>
        <w:t>Contextuais: colaborador em processo de rescisão ou com aviso prévio em curso, acesso recente a listas de clientes ou propriedade intelectual, mudança recente de funções ou remoção de acessos contestada.</w:t>
      </w:r>
    </w:p>
    <w:p>
      <w:pPr>
        <w:pStyle w:val="Heading1"/>
      </w:pPr>
      <w:r>
        <w:rPr>
          <w:b/>
          <w:color w:val="1E3A8A"/>
          <w:sz w:val="32"/>
        </w:rPr>
        <w:t>4. Investigação e preservação de evidências</w:t>
      </w:r>
    </w:p>
    <w:p>
      <w:r>
        <w:rPr>
          <w:color w:val="374151"/>
          <w:sz w:val="22"/>
        </w:rPr>
        <w:t>A investigação de uma ameaça interna deve ser conduzida com rigor forense, assegurando a admissibilidade das evidências em eventual processo disciplinar ou judicial. O princípio fundamental é preservar antes de agir — qualquer intervenção precipitada pode destruir evidências ou alertar o suspeito.</w:t>
      </w:r>
    </w:p>
    <w:p>
      <w:pPr>
        <w:pStyle w:val="ListParagraph"/>
      </w:pPr>
      <w:r>
        <w:rPr>
          <w:color w:val="374151"/>
          <w:sz w:val="22"/>
        </w:rPr>
        <w:t>Preservação imediata: criar imagem forense dos dispositivos envolvidos antes de qualquer outra ação. Preservar logs de acesso, registos de e-mail, histórico de atividade em sistemas e backups. Assegurar a cadeia de custódia documentada.</w:t>
      </w:r>
    </w:p>
    <w:p>
      <w:pPr>
        <w:pStyle w:val="ListParagraph"/>
      </w:pPr>
      <w:r>
        <w:rPr>
          <w:color w:val="374151"/>
          <w:sz w:val="22"/>
        </w:rPr>
        <w:t>Monitorização silenciosa: ativar monitorização reforçada do utilizador suspeito sem alertar. Recolher evidências adicionais durante um período limitado (máximo 5 dias) antes de intervir, em coordenação com o Departamento Jurídico.</w:t>
      </w:r>
    </w:p>
    <w:p>
      <w:pPr>
        <w:pStyle w:val="ListParagraph"/>
      </w:pPr>
      <w:r>
        <w:rPr>
          <w:color w:val="374151"/>
          <w:sz w:val="22"/>
        </w:rPr>
        <w:t>Entrevista: conduzir entrevista formal com o colaborador, acompanhado por representante de RH. Documentar integralmente. Não confrontar com as evidências logo no início — seguir técnica de entrevista estruturada.</w:t>
      </w:r>
    </w:p>
    <w:p>
      <w:pPr>
        <w:pStyle w:val="ListParagraph"/>
      </w:pPr>
      <w:r>
        <w:rPr>
          <w:color w:val="374151"/>
          <w:sz w:val="22"/>
        </w:rPr>
        <w:t>Envolvimento das autoridades: se houver indícios de crime (furto de dados, sabotagem, fraude), contactar as autoridades competentes (PJ, CNPD conforme aplicável) antes de revogar acessos, para não comprometer uma eventual investigação criminal.</w:t>
      </w:r>
    </w:p>
    <w:p>
      <w:pPr>
        <w:pStyle w:val="Heading1"/>
      </w:pPr>
      <w:r>
        <w:rPr>
          <w:b/>
          <w:color w:val="1E3A8A"/>
          <w:sz w:val="32"/>
        </w:rPr>
        <w:t>5. Ação disciplinar e legal</w:t>
      </w:r>
    </w:p>
    <w:p>
      <w:r>
        <w:rPr>
          <w:color w:val="374151"/>
          <w:sz w:val="22"/>
        </w:rPr>
        <w:t>As ações a tomar após a investigação dependem do tipo de ameaça, da gravidade do incidente e das evidências recolhidas. Todas as decisões devem ser documentadas e aprovadas pelo Departamento Jurídico e pelos Recursos Humanos antes de serem executadas.</w:t>
      </w:r>
    </w:p>
    <w:p>
      <w:pPr>
        <w:pStyle w:val="ListParagraph"/>
      </w:pPr>
      <w:r>
        <w:rPr>
          <w:color w:val="374151"/>
          <w:sz w:val="22"/>
        </w:rPr>
        <w:t>Ameaça negligente: formação obrigatória adicional, advertência escrita, revisão dos acessos atribuídos, monitorização reforçada por período definido. Sem consequências disciplinares graves se for incidente isolado sem impacto significativo.</w:t>
      </w:r>
    </w:p>
    <w:p>
      <w:pPr>
        <w:pStyle w:val="ListParagraph"/>
      </w:pPr>
      <w:r>
        <w:rPr>
          <w:color w:val="374151"/>
          <w:sz w:val="22"/>
        </w:rPr>
        <w:t>Ameaça maliciosa confirmada: revogação imediata de todos os acessos, instauração de processo disciplinar conforme Código do Trabalho, participação às autoridades se houver indícios de crime, notificação ao CNCS se o incidente constituir violação de segurança notificável.</w:t>
      </w:r>
    </w:p>
    <w:p>
      <w:pPr>
        <w:pStyle w:val="ListParagraph"/>
      </w:pPr>
      <w:r>
        <w:rPr>
          <w:color w:val="374151"/>
          <w:sz w:val="22"/>
        </w:rPr>
        <w:t>Medidas cautelares: enquanto a investigação decorre, considerar a suspensão preventiva do colaborador com vencimento, em conformidade com o Art. 354.º do Código do Trabalho, para impedir a continuação do incidente.</w:t>
      </w:r>
    </w:p>
    <w:p>
      <w:pPr>
        <w:pStyle w:val="Heading1"/>
      </w:pPr>
      <w:r>
        <w:rPr>
          <w:b/>
          <w:color w:val="1E3A8A"/>
          <w:sz w:val="32"/>
        </w:rPr>
        <w:t>6. Prevenção</w:t>
      </w:r>
    </w:p>
    <w:p>
      <w:r>
        <w:rPr>
          <w:color w:val="374151"/>
          <w:sz w:val="22"/>
        </w:rPr>
        <w:t>A prevenção de ameaças internas baseia-se num conjunto de controlos técnicos, procedimentais e culturais que reduzem tanto a oportunidade como a motivação para comportamentos maliciosos ou negligentes.</w:t>
      </w:r>
    </w:p>
    <w:p>
      <w:pPr>
        <w:pStyle w:val="ListParagraph"/>
      </w:pPr>
      <w:r>
        <w:rPr>
          <w:color w:val="374151"/>
          <w:sz w:val="22"/>
        </w:rPr>
        <w:t>Controlos técnicos: princípio do menor privilégio, revisão periódica de acessos (access reviews), DLP (Data Loss Prevention), UEBA, monitorização de endpoints, encriptação de dados sensíveis.</w:t>
      </w:r>
    </w:p>
    <w:p>
      <w:pPr>
        <w:pStyle w:val="ListParagraph"/>
      </w:pPr>
      <w:r>
        <w:rPr>
          <w:color w:val="374151"/>
          <w:sz w:val="22"/>
        </w:rPr>
        <w:t>Controlos procedimentais: segregação de funções em processos críticos, dupla autorização para operações sensíveis, processo estruturado de offboarding com revogação imediata de acessos, verificação de antecedentes na admissão.</w:t>
      </w:r>
    </w:p>
    <w:p>
      <w:pPr>
        <w:pStyle w:val="ListParagraph"/>
      </w:pPr>
      <w:r>
        <w:rPr>
          <w:color w:val="374151"/>
          <w:sz w:val="22"/>
        </w:rPr>
        <w:t>Cultura de segurança: programa de formação e sensibilização contínuo, canal anónimo de reporte de comportamentos suspeitos, clima organizacional que reduza fatores de risco (stress, conflitos, insatisfação).</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Diretor de Recursos Humanos</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Diretor Jurídico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