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Playbook de resposta a phishing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</w:t>
      </w:r>
    </w:p>
    <w:p>
      <w:r>
        <w:rPr>
          <w:color w:val="374151"/>
          <w:sz w:val="22"/>
        </w:rPr>
        <w:t>Este playbook define os procedimentos de resposta a incidentes de phishing que visem colaboradores ou sistemas da organização, incluindo a triagem de e-mails suspeitos, a contenção de contas comprometidas e a análise técnica de ameaças. O phishing é o vetor de ataque inicial mais frequente em incidentes de cibersegurança, sendo responsável por mais de 80% das intrusões bem-sucedidas.</w:t>
      </w:r>
    </w:p>
    <w:p>
      <w:r>
        <w:rPr>
          <w:color w:val="374151"/>
          <w:sz w:val="22"/>
        </w:rPr>
        <w:t>Em conformidade com o Art. 27.º alínea g) do Decreto-Lei n.º 125/2025, a organização deve implementar práticas de higiene cibernética e formação em cibersegurança, incluindo a capacidade de identificar e reportar tentativas de phishing. Este playbook apoia o cumprimento dessa obrigação, estabelecendo um processo estruturado de resposta que minimiza o impacto de ataques bem-sucedidos.</w:t>
      </w:r>
    </w:p>
    <w:p>
      <w:pPr>
        <w:pStyle w:val="Heading1"/>
      </w:pPr>
      <w:r>
        <w:rPr>
          <w:b/>
          <w:color w:val="1E3A8A"/>
          <w:sz w:val="32"/>
        </w:rPr>
        <w:t>2. Tipos de phishing</w:t>
      </w:r>
    </w:p>
    <w:p>
      <w:r>
        <w:rPr>
          <w:color w:val="374151"/>
          <w:sz w:val="22"/>
        </w:rPr>
        <w:t>O phishing assume múltiplas formas, com diferentes níveis de sofisticação e vetores de entrega. A identificação correta do tipo de ataque orienta a resposta e as medidas de prevenção a implementar.</w:t>
      </w:r>
    </w:p>
    <w:p>
      <w:pPr>
        <w:pStyle w:val="ListParagraph"/>
      </w:pPr>
      <w:r>
        <w:rPr>
          <w:color w:val="374151"/>
          <w:sz w:val="22"/>
        </w:rPr>
        <w:t>Spear-phishing: ataque direcionado a um indivíduo ou grupo específico, com mensagens personalizadas que exploram informação pública sobre a vítima. Geralmente visa executivos, diretores financeiros ou responsáveis de TI. Taxa de sucesso significativamente superior ao phishing genérico.</w:t>
      </w:r>
    </w:p>
    <w:p>
      <w:pPr>
        <w:pStyle w:val="ListParagraph"/>
      </w:pPr>
      <w:r>
        <w:rPr>
          <w:color w:val="374151"/>
          <w:sz w:val="22"/>
        </w:rPr>
        <w:t>Whaling: variante de spear-phishing que visa especificamente membros da administração ou C-Level. Pode envolver falsificação de identidade de parceiros de negócio, reguladores ou advogados.</w:t>
      </w:r>
    </w:p>
    <w:p>
      <w:pPr>
        <w:pStyle w:val="ListParagraph"/>
      </w:pPr>
      <w:r>
        <w:rPr>
          <w:color w:val="374151"/>
          <w:sz w:val="22"/>
        </w:rPr>
        <w:t>Smishing: phishing via SMS, explorando a confiança do utilizador em mensagens de texto. Frequentemente simula alertas bancários, entregas de encomendas ou comunicações de organismos públicos.</w:t>
      </w:r>
    </w:p>
    <w:p>
      <w:pPr>
        <w:pStyle w:val="ListParagraph"/>
      </w:pPr>
      <w:r>
        <w:rPr>
          <w:color w:val="374151"/>
          <w:sz w:val="22"/>
        </w:rPr>
        <w:t>Vishing: phishing por voz (chamada telefónica), onde o atacante se faz passar por suporte técnico, banco ou autoridade. Pode ser combinado com e-mail (phishing híbrido) para aumentar a credibilidade.</w:t>
      </w:r>
    </w:p>
    <w:p>
      <w:pPr>
        <w:pStyle w:val="ListParagraph"/>
      </w:pPr>
      <w:r>
        <w:rPr>
          <w:color w:val="374151"/>
          <w:sz w:val="22"/>
        </w:rPr>
        <w:t>Business Email Compromise (BEC): comprometimento de conta de e-mail legítima para realizar phishing a partir de endereços confiáveis. Particularmente perigoso por contornar filtros de e-mail baseados em reputação de domínio.</w:t>
      </w:r>
    </w:p>
    <w:p>
      <w:pPr>
        <w:pStyle w:val="Heading1"/>
      </w:pPr>
      <w:r>
        <w:rPr>
          <w:b/>
          <w:color w:val="1E3A8A"/>
          <w:sz w:val="32"/>
        </w:rPr>
        <w:t>3. Triagem de e-mail suspeito</w:t>
      </w:r>
    </w:p>
    <w:p>
      <w:r>
        <w:rPr>
          <w:color w:val="374151"/>
          <w:sz w:val="22"/>
        </w:rPr>
        <w:t>O processo de triagem deve ser iniciado imediatamente após a receção de um reporte de e-mail suspeito por parte de um colaborador. O objetivo é determinar se se trata de phishing e se alguma conta ou sistema foi comprometido.</w:t>
      </w:r>
    </w:p>
    <w:p>
      <w:pPr>
        <w:pStyle w:val="ListParagraph"/>
      </w:pPr>
      <w:r>
        <w:rPr>
          <w:color w:val="374151"/>
          <w:sz w:val="22"/>
        </w:rPr>
        <w:t>Análise de cabeçalhos: verificar o campo "From" versus o Reply-To real, analisar o caminho de envio nos cabeçalhos Received, verificar autenticação SPF/DKIM/DMARC. Utilizar ferramentas como MXToolbox ou o analisador de cabeçalhos do Google.</w:t>
      </w:r>
    </w:p>
    <w:p>
      <w:pPr>
        <w:pStyle w:val="ListParagraph"/>
      </w:pPr>
      <w:r>
        <w:rPr>
          <w:color w:val="374151"/>
          <w:sz w:val="22"/>
        </w:rPr>
        <w:t>Análise de URLs: verificar todos os links sem clicar — utilizar sandbox (urlscan.io, VirusTotal, Any.run) para analisar URLs suspeitos em ambiente isolado. Verificar o domínio registado, a data de registo e a reputação.</w:t>
      </w:r>
    </w:p>
    <w:p>
      <w:pPr>
        <w:pStyle w:val="ListParagraph"/>
      </w:pPr>
      <w:r>
        <w:rPr>
          <w:color w:val="374151"/>
          <w:sz w:val="22"/>
        </w:rPr>
        <w:t>Análise de anexos: submeter anexos suspeitos a sandbox de análise de malware. Nunca abrir em ambiente de produção. Verificar hashes SHA256 em bases de dados de inteligência de ameaças.</w:t>
      </w:r>
    </w:p>
    <w:p>
      <w:pPr>
        <w:pStyle w:val="ListParagraph"/>
      </w:pPr>
      <w:r>
        <w:rPr>
          <w:color w:val="374151"/>
          <w:sz w:val="22"/>
        </w:rPr>
        <w:t>Verificação de impacto: confirmar com o utilizador se clicou em algum link, abriu algum anexo ou forneceu credenciais. Verificar nos logs de autenticação se houve acesso à conta a partir de IPs ou localizações não habituais.</w:t>
      </w:r>
    </w:p>
    <w:p>
      <w:pPr>
        <w:pStyle w:val="Heading1"/>
      </w:pPr>
      <w:r>
        <w:rPr>
          <w:b/>
          <w:color w:val="1E3A8A"/>
          <w:sz w:val="32"/>
        </w:rPr>
        <w:t>4. Contenção de conta comprometida</w:t>
      </w:r>
    </w:p>
    <w:p>
      <w:r>
        <w:rPr>
          <w:color w:val="374151"/>
          <w:sz w:val="22"/>
        </w:rPr>
        <w:t>Se a triagem confirmar que um utilizador forneceu credenciais ou que a sua conta foi comprometida, as ações de contenção devem ser executadas de imediato, sem esperar pela conclusão da análise técnica completa.</w:t>
      </w:r>
    </w:p>
    <w:p>
      <w:pPr>
        <w:pStyle w:val="ListParagraph"/>
      </w:pPr>
      <w:r>
        <w:rPr>
          <w:color w:val="374151"/>
          <w:sz w:val="22"/>
        </w:rPr>
        <w:t>Passo 1: revogar imediatamente todas as sessões ativas da conta comprometida em todos os sistemas (Microsoft 365, Google Workspace, VPN, aplicações SaaS). Forçar o término de sessões ativas.</w:t>
      </w:r>
    </w:p>
    <w:p>
      <w:pPr>
        <w:pStyle w:val="ListParagraph"/>
      </w:pPr>
      <w:r>
        <w:rPr>
          <w:color w:val="374151"/>
          <w:sz w:val="22"/>
        </w:rPr>
        <w:t>Passo 2: redefinir a senha da conta comprometida e verificar se foram criadas regras de reencaminhamento de e-mail, delegações de acesso ou outras configurações alteradas pelo atacante.</w:t>
      </w:r>
    </w:p>
    <w:p>
      <w:pPr>
        <w:pStyle w:val="ListParagraph"/>
      </w:pPr>
      <w:r>
        <w:rPr>
          <w:color w:val="374151"/>
          <w:sz w:val="22"/>
        </w:rPr>
        <w:t>Passo 3: revogar e regenerar todos os tokens OAuth e chaves de API associados à conta comprometida. Verificar aplicações de terceiros autorizadas na conta.</w:t>
      </w:r>
    </w:p>
    <w:p>
      <w:pPr>
        <w:pStyle w:val="ListParagraph"/>
      </w:pPr>
      <w:r>
        <w:rPr>
          <w:color w:val="374151"/>
          <w:sz w:val="22"/>
        </w:rPr>
        <w:t>Passo 4: ativar ou verificar que a autenticação multifator (MFA) está ativa na conta. Verificar se o MFA foi alterado pelo atacante (novo número de telefone, nova app autenticadora).</w:t>
      </w:r>
    </w:p>
    <w:p>
      <w:pPr>
        <w:pStyle w:val="ListParagraph"/>
      </w:pPr>
      <w:r>
        <w:rPr>
          <w:color w:val="374151"/>
          <w:sz w:val="22"/>
        </w:rPr>
        <w:t>Passo 5: verificar nos logs de auditoria todas as ações realizadas pela conta comprometida desde o momento do comprometimento — e-mails enviados, ficheiros acedidos, downloads realizados, regras criadas.</w:t>
      </w:r>
    </w:p>
    <w:p>
      <w:pPr>
        <w:pStyle w:val="Heading1"/>
      </w:pPr>
      <w:r>
        <w:rPr>
          <w:b/>
          <w:color w:val="1E3A8A"/>
          <w:sz w:val="32"/>
        </w:rPr>
        <w:t>5. Análise técnica</w:t>
      </w:r>
    </w:p>
    <w:p>
      <w:r>
        <w:rPr>
          <w:color w:val="374151"/>
          <w:sz w:val="22"/>
        </w:rPr>
        <w:t>A análise técnica aprofundada deve ser realizada pelo SOC ou pelo responsável de cibersegurança, com o objetivo de determinar o âmbito completo do ataque, identificar IoCs e implementar bloqueios preventivos para proteger outros colaboradores.</w:t>
      </w:r>
    </w:p>
    <w:p>
      <w:pPr>
        <w:pStyle w:val="ListParagraph"/>
      </w:pPr>
      <w:r>
        <w:rPr>
          <w:color w:val="374151"/>
          <w:sz w:val="22"/>
        </w:rPr>
        <w:t>Bloquear IoCs identificados: adicionar URLs maliciosos, domínios e endereços IP ao filtro de e-mail, ao proxy web e ao firewall. Verificar se outros utilizadores receberam e-mails semelhantes e tomar ação preventiva.</w:t>
      </w:r>
    </w:p>
    <w:p>
      <w:pPr>
        <w:pStyle w:val="ListParagraph"/>
      </w:pPr>
      <w:r>
        <w:rPr>
          <w:color w:val="374151"/>
          <w:sz w:val="22"/>
        </w:rPr>
        <w:t>Análise forense do endpoint: se o utilizador abriu um anexo malicioso, realizar análise forense do dispositivo — verificar processos em execução, ligações de rede estabelecidas, persistência instalada, alterações no registo.</w:t>
      </w:r>
    </w:p>
    <w:p>
      <w:pPr>
        <w:pStyle w:val="ListParagraph"/>
      </w:pPr>
      <w:r>
        <w:rPr>
          <w:color w:val="374151"/>
          <w:sz w:val="22"/>
        </w:rPr>
        <w:t>Correlação com SIEM: pesquisar no SIEM por IoCs identificados (hashes, IPs, domínios, user-agents) para identificar outros sistemas possivelmente afetados.</w:t>
      </w:r>
    </w:p>
    <w:p>
      <w:pPr>
        <w:pStyle w:val="Heading1"/>
      </w:pPr>
      <w:r>
        <w:rPr>
          <w:b/>
          <w:color w:val="1E3A8A"/>
          <w:sz w:val="32"/>
        </w:rPr>
        <w:t>6. Comunicação interna</w:t>
      </w:r>
    </w:p>
    <w:p>
      <w:r>
        <w:rPr>
          <w:color w:val="374151"/>
          <w:sz w:val="22"/>
        </w:rPr>
        <w:t>A comunicação interna durante e após um incidente de phishing é essencial para proteger outros colaboradores e para manter a confiança na equipa de segurança. Deve ser clara, factual e oportuna.</w:t>
      </w:r>
    </w:p>
    <w:p>
      <w:pPr>
        <w:pStyle w:val="ListParagraph"/>
      </w:pPr>
      <w:r>
        <w:rPr>
          <w:color w:val="374151"/>
          <w:sz w:val="22"/>
        </w:rPr>
        <w:t>Alerta imediato: enviar alerta a todos os colaboradores sobre a campanha de phishing em curso, com exemplos do e-mail malicioso (sem links ativos) e instruções para não clicar e reportar.</w:t>
      </w:r>
    </w:p>
    <w:p>
      <w:pPr>
        <w:pStyle w:val="ListParagraph"/>
      </w:pPr>
      <w:r>
        <w:rPr>
          <w:color w:val="374151"/>
          <w:sz w:val="22"/>
        </w:rPr>
        <w:t>Comunicação ao utilizador afetado: informar o utilizador afetado sobre o que aconteceu, as ações tomadas e os passos que deve seguir. Evitar linguagem acusatória — o phishing é cada vez mais sofisticado e pode enganar qualquer pessoa.</w:t>
      </w:r>
    </w:p>
    <w:p>
      <w:pPr>
        <w:pStyle w:val="ListParagraph"/>
      </w:pPr>
      <w:r>
        <w:rPr>
          <w:color w:val="374151"/>
          <w:sz w:val="22"/>
        </w:rPr>
        <w:t>Relatório de incidente: documentar o incidente no registo de incidentes da organização, incluindo: cronologia, tipo de phishing, utilizadores afetados, sistemas comprometidos, IoCs identificados, ações tomadas e lições aprendidas.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operações de TI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