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Playbook de resposta a ransomware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w:t>
      </w:r>
    </w:p>
    <w:p>
      <w:r>
        <w:rPr>
          <w:color w:val="374151"/>
          <w:sz w:val="22"/>
        </w:rPr>
        <w:t>O presente playbook define os procedimentos específicos de resposta a um ataque de ransomware, constituindo um guia operacional passo a passo para a equipa de resposta a incidentes (IRT). O ransomware é atualmente a ameaça de cibersegurança mais prevalente e com maior impacto financeiro e operacional para as organizações, sendo por isso objeto de um procedimento específico e detalhado.</w:t>
      </w:r>
    </w:p>
    <w:p>
      <w:r>
        <w:rPr>
          <w:color w:val="374151"/>
          <w:sz w:val="22"/>
        </w:rPr>
        <w:t>Este playbook deve ser testado em simulações regulares (pelo menos semestralmente) para garantir que a equipa conhece os procedimentos e que estes são adequados ao ambiente tecnológico da organização. Os resultados dos testes devem ser documentados e as melhorias identificadas implementadas prontamente.</w:t>
      </w:r>
    </w:p>
    <w:p>
      <w:r>
        <w:rPr>
          <w:color w:val="374151"/>
          <w:sz w:val="22"/>
        </w:rPr>
        <w:t>Em caso de ataque de ransomware real, este documento deve ser acedido através de um canal alternativo (cópia impressa, armazenamento offline, email alternativo) caso os sistemas da organização estejam comprometidos ou inacessíveis. Manter uma cópia física atualizada em local seguro é uma medida de preparação fundamental.</w:t>
      </w:r>
    </w:p>
    <w:p>
      <w:pPr>
        <w:pStyle w:val="Heading1"/>
      </w:pPr>
      <w:r>
        <w:rPr>
          <w:b/>
          <w:color w:val="1E3A8A"/>
          <w:sz w:val="32"/>
        </w:rPr>
        <w:t>2. Enquadramento legal</w:t>
      </w:r>
    </w:p>
    <w:p>
      <w:r>
        <w:rPr>
          <w:color w:val="374151"/>
          <w:sz w:val="22"/>
        </w:rPr>
        <w:t>Um ataque de ransomware que afete serviços essenciais ou cause perturbação operacional grave desencadeia obrigações de notificação imediatas ao abrigo do Decreto-Lei n.º 125/2025:</w:t>
      </w:r>
    </w:p>
    <w:p>
      <w:pPr>
        <w:pStyle w:val="ListParagraph"/>
      </w:pPr>
      <w:r>
        <w:rPr>
          <w:color w:val="374151"/>
          <w:sz w:val="22"/>
        </w:rPr>
        <w:t>Art. 42.º n.º 1 — notificação ao CNCS no prazo de 24 horas após o conhecimento do incidente significativo. A encriptação de dados ou sistemas por ransomware é, na generalidade dos casos, um incidente significativo ao abrigo do Art. 40.º.</w:t>
      </w:r>
    </w:p>
    <w:p>
      <w:pPr>
        <w:pStyle w:val="ListParagraph"/>
      </w:pPr>
      <w:r>
        <w:rPr>
          <w:color w:val="374151"/>
          <w:sz w:val="22"/>
        </w:rPr>
        <w:t>Art. 42.º n.º 3 — atualização da notificação ao CNCS no prazo de 72 horas, com indicadores de compromisso, variante de ransomware identificada e medidas de mitigação aplicadas.</w:t>
      </w:r>
    </w:p>
    <w:p>
      <w:pPr>
        <w:pStyle w:val="ListParagraph"/>
      </w:pPr>
      <w:r>
        <w:rPr>
          <w:color w:val="374151"/>
          <w:sz w:val="22"/>
        </w:rPr>
        <w:t>Art. 44.º — relatório final ao CNCS no prazo de 30 dias úteis após a resolução, com análise completa da causa raiz e medidas preventivas implementadas.</w:t>
      </w:r>
    </w:p>
    <w:p>
      <w:pPr>
        <w:pStyle w:val="ListParagraph"/>
      </w:pPr>
      <w:r>
        <w:rPr>
          <w:color w:val="374151"/>
          <w:sz w:val="22"/>
        </w:rPr>
        <w:t>RGPD Art. 33.º — se o ransomware resultou em exfiltração de dados pessoais ou impossibilidade de acesso aos mesmos, notificação à CNPD no prazo de 72 horas após o conhecimento da violação de dados.</w:t>
      </w:r>
    </w:p>
    <w:p>
      <w:pPr>
        <w:pStyle w:val="ListParagraph"/>
      </w:pPr>
      <w:r>
        <w:rPr>
          <w:color w:val="374151"/>
          <w:sz w:val="22"/>
        </w:rPr>
        <w:t>Art. 48.º do DL 125/2025 — o CNCS pode exigir a divulgação pública do incidente se tal for necessário para o interesse público ou para alertar utilizadores de serviços da organização.</w:t>
      </w:r>
    </w:p>
    <w:p>
      <w:r>
        <w:rPr>
          <w:color w:val="374151"/>
          <w:sz w:val="22"/>
        </w:rPr>
        <w:t>Adicionalmente, deve ser ponderada a participação às autoridades policiais, nomeadamente a Unidade Nacional de Combate ao Cibercrime e à Criminalidade Tecnológica (UNC3T) da Polícia Judiciária, que pode prestar apoio técnico e investigar o incidente.</w:t>
      </w:r>
    </w:p>
    <w:p>
      <w:pPr>
        <w:pStyle w:val="Heading1"/>
      </w:pPr>
      <w:r>
        <w:rPr>
          <w:b/>
          <w:color w:val="1E3A8A"/>
          <w:sz w:val="32"/>
        </w:rPr>
        <w:t>3. Indicadores de compromisso (IoCs)</w:t>
      </w:r>
    </w:p>
    <w:p>
      <w:r>
        <w:rPr>
          <w:color w:val="374151"/>
          <w:sz w:val="22"/>
        </w:rPr>
        <w:t>A deteção precoce de um ataque de ransomware é fundamental para limitar o impacto. Os seguintes indicadores de compromisso (IoCs) devem ser monitorizados continuamente pelo SIEM e reportados imediatamente à equipa de segurança:</w:t>
      </w:r>
    </w:p>
    <w:p>
      <w:pPr>
        <w:pStyle w:val="ListParagraph"/>
      </w:pPr>
      <w:r>
        <w:rPr>
          <w:color w:val="374151"/>
          <w:sz w:val="22"/>
        </w:rPr>
        <w:t>Ficheiros com extensão alterada ou com extensão não reconhecida (ex.: .locked, .encrypted, .xxx, extensão aleatória) em partilhas de rede ou diretórios de utilizadores.</w:t>
      </w:r>
    </w:p>
    <w:p>
      <w:pPr>
        <w:pStyle w:val="ListParagraph"/>
      </w:pPr>
      <w:r>
        <w:rPr>
          <w:color w:val="374151"/>
          <w:sz w:val="22"/>
        </w:rPr>
        <w:t>Presença de ficheiros de nota de resgate (ex.: README.txt, HOW_TO_DECRYPT.txt, RECOVERY_FILES.html) em múltiplos diretórios.</w:t>
      </w:r>
    </w:p>
    <w:p>
      <w:pPr>
        <w:pStyle w:val="ListParagraph"/>
      </w:pPr>
      <w:r>
        <w:rPr>
          <w:color w:val="374151"/>
          <w:sz w:val="22"/>
        </w:rPr>
        <w:t>Atividade de rede anómala: ligações a endereços IP desconhecidos, tráfego cifrado para destinos externos não habituais, exfiltração de grandes volumes de dados.</w:t>
      </w:r>
    </w:p>
    <w:p>
      <w:pPr>
        <w:pStyle w:val="ListParagraph"/>
      </w:pPr>
      <w:r>
        <w:rPr>
          <w:color w:val="374151"/>
          <w:sz w:val="22"/>
        </w:rPr>
        <w:t>Processos suspeitos: processos a correr com privilégios elevados, shadow copy deletion (vssadmin delete shadows), desativação de antivírus ou endpoint detection.</w:t>
      </w:r>
    </w:p>
    <w:p>
      <w:pPr>
        <w:pStyle w:val="ListParagraph"/>
      </w:pPr>
      <w:r>
        <w:rPr>
          <w:color w:val="374151"/>
          <w:sz w:val="22"/>
        </w:rPr>
        <w:t>Aumento anormal de operações de escrita em disco, particularmente em servidores de ficheiros e diretórios partilhados.</w:t>
      </w:r>
    </w:p>
    <w:p>
      <w:pPr>
        <w:pStyle w:val="ListParagraph"/>
      </w:pPr>
      <w:r>
        <w:rPr>
          <w:color w:val="374151"/>
          <w:sz w:val="22"/>
        </w:rPr>
        <w:t>Alertas de EDR/antivírus sobre variantes de ransomware conhecidas ou comportamento de encriptação massiva.</w:t>
      </w:r>
    </w:p>
    <w:p>
      <w:pPr>
        <w:pStyle w:val="ListParagraph"/>
      </w:pPr>
      <w:r>
        <w:rPr>
          <w:color w:val="374151"/>
          <w:sz w:val="22"/>
        </w:rPr>
        <w:t>Tentativas de movimento lateral: acessos a sistemas não habituais, utilização de ferramentas de administração remota (PsExec, WMI, RDP) de forma anómala.</w:t>
      </w:r>
    </w:p>
    <w:p>
      <w:pPr>
        <w:pStyle w:val="Heading1"/>
      </w:pPr>
      <w:r>
        <w:rPr>
          <w:b/>
          <w:color w:val="1E3A8A"/>
          <w:sz w:val="32"/>
        </w:rPr>
        <w:t>4. Fase 1: contenção imediata (0-2 horas)</w:t>
      </w:r>
    </w:p>
    <w:p>
      <w:r>
        <w:rPr>
          <w:color w:val="374151"/>
          <w:sz w:val="22"/>
        </w:rPr>
        <w:t>A fase de contenção imediata visa impedir a propagação do ransomware a outros sistemas e preservar evidências para investigação. As ações abaixo devem ser executadas simultaneamente e com a máxima urgência:</w:t>
      </w:r>
    </w:p>
    <w:p>
      <w:pPr>
        <w:pStyle w:val="ListParagraph"/>
      </w:pPr>
      <w:r>
        <w:rPr>
          <w:color w:val="374151"/>
          <w:sz w:val="22"/>
        </w:rPr>
        <w:t>AÇÃO 1: Isolar imediatamente os sistemas afetados da rede corporativa — desligar o cabo de rede ou desativar a interface de rede (NIC) nos sistemas comprometidos. Em ambientes virtualizados, desligar a interface de rede virtual.</w:t>
      </w:r>
    </w:p>
    <w:p>
      <w:pPr>
        <w:pStyle w:val="ListParagraph"/>
      </w:pPr>
      <w:r>
        <w:rPr>
          <w:color w:val="374151"/>
          <w:sz w:val="22"/>
        </w:rPr>
        <w:t>AÇÃO 2: NAO desligar as máquinas afetadas (a menos que não haja alternativa) — a memória RAM pode conter a chave de encriptação ou artefactos forenses valiosos. Suspender a máquina virtual em alternativa.</w:t>
      </w:r>
    </w:p>
    <w:p>
      <w:pPr>
        <w:pStyle w:val="ListParagraph"/>
      </w:pPr>
      <w:r>
        <w:rPr>
          <w:color w:val="374151"/>
          <w:sz w:val="22"/>
        </w:rPr>
        <w:t>AÇÃO 3: Preservar evidências — tirar snapshot dos sistemas virtualizados, capturar dump de memória RAM se possível, registar todos os processos em execução e ligações de rede ativas.</w:t>
      </w:r>
    </w:p>
    <w:p>
      <w:pPr>
        <w:pStyle w:val="ListParagraph"/>
      </w:pPr>
      <w:r>
        <w:rPr>
          <w:color w:val="374151"/>
          <w:sz w:val="22"/>
        </w:rPr>
        <w:t>AÇÃO 4: Ativar a equipa de resposta a incidentes e notificar o CISO e a gestão de topo imediatamente, por canal alternativo se os sistemas normais estiverem comprometidos.</w:t>
      </w:r>
    </w:p>
    <w:p>
      <w:pPr>
        <w:pStyle w:val="ListParagraph"/>
      </w:pPr>
      <w:r>
        <w:rPr>
          <w:color w:val="374151"/>
          <w:sz w:val="22"/>
        </w:rPr>
        <w:t>AÇÃO 5: Identificar o ponto zero (patient zero) — o primeiro sistema comprometido — e mapear os sistemas potencialmente afetados através dos logs de rede disponíveis.</w:t>
      </w:r>
    </w:p>
    <w:p>
      <w:pPr>
        <w:pStyle w:val="ListParagraph"/>
      </w:pPr>
      <w:r>
        <w:rPr>
          <w:color w:val="374151"/>
          <w:sz w:val="22"/>
        </w:rPr>
        <w:t>AÇÃO 6: Revogar credenciais comprometidas ou potencialmente comprometidas, com prioridade para contas privilegiadas e de administrador de domínio.</w:t>
      </w:r>
    </w:p>
    <w:p>
      <w:r>
        <w:rPr>
          <w:color w:val="374151"/>
          <w:sz w:val="22"/>
        </w:rPr>
        <w:t>NOTA IMPORTANTE: Não comunicar a informação sobre o ataque em sistemas potencialmente comprometidos (email corporativo, Teams, Slack). Utilizar canais alternativos definidos no Plano de Comunicações de Emergência.</w:t>
      </w:r>
    </w:p>
    <w:p>
      <w:pPr>
        <w:pStyle w:val="Heading1"/>
      </w:pPr>
      <w:r>
        <w:rPr>
          <w:b/>
          <w:color w:val="1E3A8A"/>
          <w:sz w:val="32"/>
        </w:rPr>
        <w:t>5. Fase 2: avaliação (2-8 horas)</w:t>
      </w:r>
    </w:p>
    <w:p>
      <w:r>
        <w:rPr>
          <w:color w:val="374151"/>
          <w:sz w:val="22"/>
        </w:rPr>
        <w:t>Após a contenção inicial, a equipa deve avaliar a extensão do ataque e determinar as opções de recuperação disponíveis antes de tomar decisões sobre os passos seguintes:</w:t>
      </w:r>
    </w:p>
    <w:p>
      <w:pPr>
        <w:pStyle w:val="ListParagraph"/>
      </w:pPr>
      <w:r>
        <w:rPr>
          <w:color w:val="374151"/>
          <w:sz w:val="22"/>
        </w:rPr>
        <w:t>Identificar a variante de ransomware: utilizar ferramentas como ID Ransomware (https://id-ransomware.malwarehunterteam.com) ou No More Ransom (https://www.nomoreransom.org) para identificar a variante e verificar se existe ferramenta de desencriptação gratuita disponível.</w:t>
      </w:r>
    </w:p>
    <w:p>
      <w:pPr>
        <w:pStyle w:val="ListParagraph"/>
      </w:pPr>
      <w:r>
        <w:rPr>
          <w:color w:val="374151"/>
          <w:sz w:val="22"/>
        </w:rPr>
        <w:t>Avaliar a extensão do ataque: quantificar os sistemas e dados afetados, identificar se houve exfiltração de dados (dupla extorsão), verificar se os backups foram afetados.</w:t>
      </w:r>
    </w:p>
    <w:p>
      <w:pPr>
        <w:pStyle w:val="ListParagraph"/>
      </w:pPr>
      <w:r>
        <w:rPr>
          <w:color w:val="374151"/>
          <w:sz w:val="22"/>
        </w:rPr>
        <w:t>Verificar o estado dos backups: confirmar que os backups offline ou imutáveis estão disponíveis e intactos. Verificar a data do backup mais recente não afetado e o tempo estimado de restauro.</w:t>
      </w:r>
    </w:p>
    <w:p>
      <w:pPr>
        <w:pStyle w:val="ListParagraph"/>
      </w:pPr>
      <w:r>
        <w:rPr>
          <w:color w:val="374151"/>
          <w:sz w:val="22"/>
        </w:rPr>
        <w:t>Notificação ao CNCS (24h): elaborar e enviar a notificação inicial ao CNCS, incluindo os dados disponíveis sobre o incidente (Art. 42.º n.º 1 do DL 125/2025).</w:t>
      </w:r>
    </w:p>
    <w:p>
      <w:pPr>
        <w:pStyle w:val="ListParagraph"/>
      </w:pPr>
      <w:r>
        <w:rPr>
          <w:color w:val="374151"/>
          <w:sz w:val="22"/>
        </w:rPr>
        <w:t>Avaliar necessidade de notificação à CNPD: se houver indícios de exfiltração de dados pessoais, iniciar o processo de notificação à CNPD (prazo de 72h ao abrigo do RGPD Art. 33.º).</w:t>
      </w:r>
    </w:p>
    <w:p>
      <w:pPr>
        <w:pStyle w:val="ListParagraph"/>
      </w:pPr>
      <w:r>
        <w:rPr>
          <w:color w:val="374151"/>
          <w:sz w:val="22"/>
        </w:rPr>
        <w:t>Contactar o fornecedor de seguro ciberrisco para ativar a apólice e obter apoio técnico e legal, se aplicável.</w:t>
      </w:r>
    </w:p>
    <w:p>
      <w:pPr>
        <w:pStyle w:val="Heading1"/>
      </w:pPr>
      <w:r>
        <w:rPr>
          <w:b/>
          <w:color w:val="1E3A8A"/>
          <w:sz w:val="32"/>
        </w:rPr>
        <w:t>6. Fase 3: erradicação (8-48 horas)</w:t>
      </w:r>
    </w:p>
    <w:p>
      <w:r>
        <w:rPr>
          <w:color w:val="374151"/>
          <w:sz w:val="22"/>
        </w:rPr>
        <w:t>A fase de erradicação visa eliminar completamente a presença do ransomware e do atacante dos sistemas da organização, corrigir as vulnerabilidades exploradas e verificar que não existem mecanismos de persistência. Esta fase não deve ser iniciada sem a conclusão da fase de avaliação.</w:t>
      </w:r>
    </w:p>
    <w:p>
      <w:pPr>
        <w:pStyle w:val="ListParagraph"/>
      </w:pPr>
      <w:r>
        <w:rPr>
          <w:color w:val="374151"/>
          <w:sz w:val="22"/>
        </w:rPr>
        <w:t>Realizar análise forense completa dos sistemas comprometidos para identificar o vetor de entrada inicial, as ferramentas utilizadas pelo atacante, os movimentos laterais efetuados e os dados potencialmente exfiltrados.</w:t>
      </w:r>
    </w:p>
    <w:p>
      <w:pPr>
        <w:pStyle w:val="ListParagraph"/>
      </w:pPr>
      <w:r>
        <w:rPr>
          <w:color w:val="374151"/>
          <w:sz w:val="22"/>
        </w:rPr>
        <w:t>Identificar e corrigir a vulnerabilidade explorada pelo atacante (ex.: patch de segurança em falta, credencial comprometida, misconfiguration). Esta correção deve ser efetuada antes de restaurar os sistemas afetados.</w:t>
      </w:r>
    </w:p>
    <w:p>
      <w:pPr>
        <w:pStyle w:val="ListParagraph"/>
      </w:pPr>
      <w:r>
        <w:rPr>
          <w:color w:val="374151"/>
          <w:sz w:val="22"/>
        </w:rPr>
        <w:t>Verificar e eliminar mecanismos de persistência: backdoors, scheduled tasks, startup entries, chaves de registo suspeitas, scripts ou binários maliciosos em todos os sistemas potencialmente comprometidos.</w:t>
      </w:r>
    </w:p>
    <w:p>
      <w:pPr>
        <w:pStyle w:val="ListParagraph"/>
      </w:pPr>
      <w:r>
        <w:rPr>
          <w:color w:val="374151"/>
          <w:sz w:val="22"/>
        </w:rPr>
        <w:t>Reconstruir os sistemas comprometidos a partir de imagens base limpas (reimaging) em vez de tentar limpar os sistemas infetados — é a abordagem mais segura e recomendada pelo ENISA.</w:t>
      </w:r>
    </w:p>
    <w:p>
      <w:r>
        <w:rPr>
          <w:color w:val="374151"/>
          <w:sz w:val="22"/>
        </w:rPr>
        <w:t>Enviar a atualização de 72h ao CNCS com os indicadores de compromisso identificados, a variante de ransomware confirmada e as medidas de mitigação aplicadas (Art. 42.º n.º 3 do DL 125/2025).</w:t>
      </w:r>
    </w:p>
    <w:p>
      <w:pPr>
        <w:pStyle w:val="Heading1"/>
      </w:pPr>
      <w:r>
        <w:rPr>
          <w:b/>
          <w:color w:val="1E3A8A"/>
          <w:sz w:val="32"/>
        </w:rPr>
        <w:t>7. Fase 4: recuperação (48 horas-7 dias)</w:t>
      </w:r>
    </w:p>
    <w:p>
      <w:r>
        <w:rPr>
          <w:color w:val="374151"/>
          <w:sz w:val="22"/>
        </w:rPr>
        <w:t>A fase de recuperação visa restaurar os serviços afetados de forma segura e gradual, com monitorização intensiva para detetar qualquer sinal de persistência ou recorrência do ataque:</w:t>
      </w:r>
    </w:p>
    <w:p>
      <w:pPr>
        <w:pStyle w:val="ListParagraph"/>
      </w:pPr>
      <w:r>
        <w:rPr>
          <w:color w:val="374151"/>
          <w:sz w:val="22"/>
        </w:rPr>
        <w:t>Restaurar os sistemas a partir dos backups mais recentes verificados como limpos. Verificar a integridade dos backups antes do restauro através de checksums ou validação criptográfica.</w:t>
      </w:r>
    </w:p>
    <w:p>
      <w:pPr>
        <w:pStyle w:val="ListParagraph"/>
      </w:pPr>
      <w:r>
        <w:rPr>
          <w:color w:val="374151"/>
          <w:sz w:val="22"/>
        </w:rPr>
        <w:t>Implementar monitorização intensiva (24/7) durante o período de recuperação, com alertas configurados para comportamentos anómalos similares ao ataque original.</w:t>
      </w:r>
    </w:p>
    <w:p>
      <w:pPr>
        <w:pStyle w:val="ListParagraph"/>
      </w:pPr>
      <w:r>
        <w:rPr>
          <w:color w:val="374151"/>
          <w:sz w:val="22"/>
        </w:rPr>
        <w:t>Restaurar os serviços de forma gradual e priorizada, começando pelos serviços críticos para a operação. Verificar a integridade de cada serviço antes de disponibilizá-lo aos utilizadores.</w:t>
      </w:r>
    </w:p>
    <w:p>
      <w:pPr>
        <w:pStyle w:val="ListParagraph"/>
      </w:pPr>
      <w:r>
        <w:rPr>
          <w:color w:val="374151"/>
          <w:sz w:val="22"/>
        </w:rPr>
        <w:t>Forçar a alteração de todas as palavras-passe dos utilizadores afetados e de todos os administradores de sistema, bem como renovar todos os certificados e tokens de autenticação que possam ter sido comprometidos.</w:t>
      </w:r>
    </w:p>
    <w:p>
      <w:pPr>
        <w:pStyle w:val="ListParagraph"/>
      </w:pPr>
      <w:r>
        <w:rPr>
          <w:color w:val="374151"/>
          <w:sz w:val="22"/>
        </w:rPr>
        <w:t>Comunicar a retoma gradual dos serviços às partes afetadas, incluindo clientes, parceiros e colaboradores, através dos canais de comunicação definidos no Plano de Comunicação de Crises.</w:t>
      </w:r>
    </w:p>
    <w:p>
      <w:pPr>
        <w:pStyle w:val="Heading1"/>
      </w:pPr>
      <w:r>
        <w:rPr>
          <w:b/>
          <w:color w:val="1E3A8A"/>
          <w:sz w:val="32"/>
        </w:rPr>
        <w:t>8. Decisão de pagamento de resgate</w:t>
      </w:r>
    </w:p>
    <w:p>
      <w:r>
        <w:rPr>
          <w:color w:val="374151"/>
          <w:sz w:val="22"/>
        </w:rPr>
        <w:t>A posição oficial do CNCS, da ENISA e do European Cybercrime Centre (EC3) da Europol é clara e inequívoca: NÃO PAGAR o resgate exigido pelos atacantes. Esta posição fundamenta-se nas seguintes razões:</w:t>
      </w:r>
    </w:p>
    <w:p>
      <w:pPr>
        <w:pStyle w:val="ListParagraph"/>
      </w:pPr>
      <w:r>
        <w:rPr>
          <w:color w:val="374151"/>
          <w:sz w:val="22"/>
        </w:rPr>
        <w:t>O pagamento não garante a recuperação dos dados — estudos mostram que apenas 65% das organizações que pagam o resgate recuperam todos os dados, e muitas ficam com dados parcialmente corrompidos ou inutilizáveis.</w:t>
      </w:r>
    </w:p>
    <w:p>
      <w:pPr>
        <w:pStyle w:val="ListParagraph"/>
      </w:pPr>
      <w:r>
        <w:rPr>
          <w:color w:val="374151"/>
          <w:sz w:val="22"/>
        </w:rPr>
        <w:t>O pagamento financia organizações criminosas e incentiva futuros ataques, incluindo contra a própria organização (que pode ser identificada como alvo que paga).</w:t>
      </w:r>
    </w:p>
    <w:p>
      <w:pPr>
        <w:pStyle w:val="ListParagraph"/>
      </w:pPr>
      <w:r>
        <w:rPr>
          <w:color w:val="374151"/>
          <w:sz w:val="22"/>
        </w:rPr>
        <w:t>O pagamento pode constituir financiamento de entidades sujeitas a sanções internacionais, criando responsabilidade legal adicional para a organização e os seus gestores.</w:t>
      </w:r>
    </w:p>
    <w:p>
      <w:pPr>
        <w:pStyle w:val="ListParagraph"/>
      </w:pPr>
      <w:r>
        <w:rPr>
          <w:color w:val="374151"/>
          <w:sz w:val="22"/>
        </w:rPr>
        <w:t>O pagamento não elimina a presença do atacante nos sistemas — muitos grupos de ransomware mantêm acesso persistente para futuros ataques ou venda do acesso a terceiros.</w:t>
      </w:r>
    </w:p>
    <w:p>
      <w:r>
        <w:rPr>
          <w:color w:val="374151"/>
          <w:sz w:val="22"/>
        </w:rPr>
        <w:t>As alternativas ao pagamento incluem: restauro a partir de backups, utilização de ferramentas de desencriptação gratuitas (ver https://www.nomoreransom.org), apoio técnico do CNCS/CERT.PT e contratação de empresa de resposta a incidentes especializada. Se nenhuma alternativa for viável, a decisão de pagamento requer aprovação do órgão de gestão e consulta jurídica prévia.</w:t>
      </w:r>
    </w:p>
    <w:p>
      <w:pPr>
        <w:pStyle w:val="Heading1"/>
      </w:pPr>
      <w:r>
        <w:rPr>
          <w:b/>
          <w:color w:val="1E3A8A"/>
          <w:sz w:val="32"/>
        </w:rPr>
        <w:t>9. Comunicações</w:t>
      </w:r>
    </w:p>
    <w:p>
      <w:r>
        <w:rPr>
          <w:color w:val="374151"/>
          <w:sz w:val="22"/>
        </w:rPr>
        <w:t>Durante um ataque de ransomware, a comunicação deve ser gerida de forma centralizada para evitar informação contraditória ou prematura. Utilizar canais alternativos se os sistemas principais estiverem comprometidos.</w:t>
      </w:r>
    </w:p>
    <w:p>
      <w:r>
        <w:rPr>
          <w:color w:val="374151"/>
          <w:sz w:val="22"/>
        </w:rPr>
        <w:t>Modelo de comunicação interna inicial (primeiras 2 horas):</w:t>
      </w:r>
    </w:p>
    <w:p>
      <w:pPr>
        <w:pStyle w:val="ListParagraph"/>
      </w:pPr>
      <w:r>
        <w:rPr>
          <w:color w:val="374151"/>
          <w:sz w:val="22"/>
        </w:rPr>
        <w:t>"Estamos a investigar um incidente de segurança nos nossos sistemas. Pedimos que não aceda a [sistemas afetados] até novo aviso. A equipa de segurança está a trabalhar na resolução. Mais informação será partilhada em breve através de [canal alternativo]. Para questões urgentes, contacte [nome/contacto alternativo]."</w:t>
      </w:r>
    </w:p>
    <w:p>
      <w:r>
        <w:rPr>
          <w:color w:val="374151"/>
          <w:sz w:val="22"/>
        </w:rPr>
        <w:t>Modelo de comunicação a clientes/parceiros (após contenção confirmada):</w:t>
      </w:r>
    </w:p>
    <w:p>
      <w:pPr>
        <w:pStyle w:val="ListParagraph"/>
      </w:pPr>
      <w:r>
        <w:rPr>
          <w:color w:val="374151"/>
          <w:sz w:val="22"/>
        </w:rPr>
        <w:t>"A [nome da organização] identificou e está a gerir um incidente de cibersegurança que pode ter afetado [serviço]. Tomámos medidas imediatas para conter o incidente e estamos a trabalhar para repor os serviços ao normal. A segurança dos vossos dados é a nossa prioridade. Forneceremos atualizações regulares à medida que a situação evolui. Para esclarecimentos: [contacto]."</w:t>
      </w:r>
    </w:p>
    <w:p>
      <w:pPr>
        <w:pStyle w:val="Heading1"/>
      </w:pPr>
      <w:r>
        <w:rPr>
          <w:b/>
          <w:color w:val="1E3A8A"/>
          <w:sz w:val="32"/>
        </w:rPr>
        <w:t>10. Preservação de evidências</w:t>
      </w:r>
    </w:p>
    <w:p>
      <w:r>
        <w:rPr>
          <w:color w:val="374151"/>
          <w:sz w:val="22"/>
        </w:rPr>
        <w:t>A preservação adequada de evidências é fundamental para a investigação forense, para eventuais ações legais e para o relatório final ao CNCS (Art. 44.º do DL 125/2025). As evidências devem ser recolhidas e preservadas antes de qualquer ação de recuperação ou limpeza dos sistemas:</w:t>
      </w:r>
    </w:p>
    <w:p>
      <w:pPr>
        <w:pStyle w:val="ListParagraph"/>
      </w:pPr>
      <w:r>
        <w:rPr>
          <w:color w:val="374151"/>
          <w:sz w:val="22"/>
        </w:rPr>
        <w:t>Capturar imagem forense dos sistemas comprometidos (bit-by-bit copy) antes de qualquer intervenção, utilizando ferramentas como FTK Imager ou dd, com verificação de hash MD5/SHA256.</w:t>
      </w:r>
    </w:p>
    <w:p>
      <w:pPr>
        <w:pStyle w:val="ListParagraph"/>
      </w:pPr>
      <w:r>
        <w:rPr>
          <w:color w:val="374151"/>
          <w:sz w:val="22"/>
        </w:rPr>
        <w:t>Preservar logs de sistemas (SIEM, firewalls, proxies, DNS, AD, endpoints) para o período de 30 a 90 dias antes do incidente, para identificar a cronologia completa do ataque.</w:t>
      </w:r>
    </w:p>
    <w:p>
      <w:pPr>
        <w:pStyle w:val="ListParagraph"/>
      </w:pPr>
      <w:r>
        <w:rPr>
          <w:color w:val="374151"/>
          <w:sz w:val="22"/>
        </w:rPr>
        <w:t>Documentar a cadeia de custódia de todas as evidências recolhidas, incluindo quem recolheu, quando, onde e como as evidências foram armazenadas.</w:t>
      </w:r>
    </w:p>
    <w:p>
      <w:pPr>
        <w:pStyle w:val="ListParagraph"/>
      </w:pPr>
      <w:r>
        <w:rPr>
          <w:color w:val="374151"/>
          <w:sz w:val="22"/>
        </w:rPr>
        <w:t>Preservar as notas de resgate originais e amostras do malware em ambiente isolado e seguro, para análise técnica e partilha com o CNCS/CERT.PT.</w:t>
      </w:r>
    </w:p>
    <w:p>
      <w:pPr>
        <w:pStyle w:val="ListParagraph"/>
      </w:pPr>
      <w:r>
        <w:rPr>
          <w:color w:val="374151"/>
          <w:sz w:val="22"/>
        </w:rPr>
        <w:t>Contactar a Polícia Judiciária (UNC3T) para participação criminal e obter orientação sobre a preservação de evidências para fins legais.</w:t>
      </w:r>
    </w:p>
    <w:p>
      <w:pPr>
        <w:pStyle w:val="Heading1"/>
      </w:pPr>
      <w:r>
        <w:rPr>
          <w:b/>
          <w:color w:val="1E3A8A"/>
          <w:sz w:val="32"/>
        </w:rPr>
        <w:t>11. Pós-incidente</w:t>
      </w:r>
    </w:p>
    <w:p>
      <w:r>
        <w:rPr>
          <w:color w:val="374151"/>
          <w:sz w:val="22"/>
        </w:rPr>
        <w:t>Após a resolução do incidente de ransomware, as seguintes ações são obrigatórias para cumprir as exigências do DL 125/2025 e para melhorar a resiliência da organização:</w:t>
      </w:r>
    </w:p>
    <w:p>
      <w:pPr>
        <w:pStyle w:val="ListParagraph"/>
      </w:pPr>
      <w:r>
        <w:rPr>
          <w:color w:val="374151"/>
          <w:sz w:val="22"/>
        </w:rPr>
        <w:t>Elaborar e submeter o relatório pós-incidente (PIR) ao CNCS no prazo de 30 dias úteis (Art. 44.º), utilizando o Template PIR NIS2.</w:t>
      </w:r>
    </w:p>
    <w:p>
      <w:pPr>
        <w:pStyle w:val="ListParagraph"/>
      </w:pPr>
      <w:r>
        <w:rPr>
          <w:color w:val="374151"/>
          <w:sz w:val="22"/>
        </w:rPr>
        <w:t>Realizar uma revisão completa dos controlos de segurança que falharam e implementar as ações corretivas identificadas, com prazos e responsáveis definidos.</w:t>
      </w:r>
    </w:p>
    <w:p>
      <w:pPr>
        <w:pStyle w:val="ListParagraph"/>
      </w:pPr>
      <w:r>
        <w:rPr>
          <w:color w:val="374151"/>
          <w:sz w:val="22"/>
        </w:rPr>
        <w:t>Atualizar este playbook com as lições aprendidas e os procedimentos que se mostraram ineficazes ou que necessitam de melhoria.</w:t>
      </w:r>
    </w:p>
    <w:p>
      <w:pPr>
        <w:pStyle w:val="ListParagraph"/>
      </w:pPr>
      <w:r>
        <w:rPr>
          <w:color w:val="374151"/>
          <w:sz w:val="22"/>
        </w:rPr>
        <w:t>Realizar formação específica sobre ransomware para toda a equipa de TI e para os utilizadores finais, com foco na prevenção (phishing, gestão de patches, backups).</w:t>
      </w:r>
    </w:p>
    <w:p>
      <w:pPr>
        <w:pStyle w:val="ListParagraph"/>
      </w:pPr>
      <w:r>
        <w:rPr>
          <w:color w:val="374151"/>
          <w:sz w:val="22"/>
        </w:rPr>
        <w:t>Testar os backups restaurados em ambiente isolado para confirmar a sua integridade e viabilidade para recuperação futura.</w:t>
      </w:r>
    </w:p>
    <w:p>
      <w:pPr>
        <w:pStyle w:val="ListParagraph"/>
      </w:pPr>
      <w:r>
        <w:rPr>
          <w:color w:val="374151"/>
          <w:sz w:val="22"/>
        </w:rPr>
        <w:t>Rever e reforçar a arquitetura de segurança para prevenir a recorrência, incluindo segmentação de rede, princípio de menor privilégio, MFA universal e monitorização contínua.</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