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Playbook de resposta a ataque via cadeia de fornecimento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Este playbook define os procedimentos de resposta a incidentes de segurança originados na cadeia de fornecimento de tecnologias de informação e comunicação (TIC), incluindo ataques que exploram software de terceiros, atualizações comprometidas, hardware adulterado ou credenciais de fornecedores de serviços geridos (MSP). Estes ataques caracterizam-se pela dificuldade de deteção e pelo potencial de impacto transversal.</w:t>
      </w:r>
    </w:p>
    <w:p>
      <w:r>
        <w:rPr>
          <w:color w:val="374151"/>
          <w:sz w:val="22"/>
        </w:rPr>
        <w:t>O Art. 27.º alínea c) do Decreto-Lei n.º 125/2025 estabelece obrigações explícitas de segurança da cadeia de fornecimento, exigindo que as entidades abrangidas avaliem e monitorizem os riscos provenientes dos seus fornecedores de TIC. Um ataque à cadeia de fornecimento pode afetar simultaneamente múltiplas organizações clientes do mesmo fornecedor comprometido, amplificando significativamente o impacto.</w:t>
      </w:r>
    </w:p>
    <w:p>
      <w:r>
        <w:rPr>
          <w:color w:val="374151"/>
          <w:sz w:val="22"/>
        </w:rPr>
        <w:t>Referência ao incidente SolarWinds (2020) e ao ataque ao Kaseya VSA (2021) como exemplos paradigmáticos do impacto de ataques à cadeia de fornecimento em larga escala. A organização deve estar preparada para responder mesmo quando a origem do ataque é um fornecedor de confiança.</w:t>
      </w:r>
    </w:p>
    <w:p>
      <w:pPr>
        <w:pStyle w:val="Heading1"/>
      </w:pPr>
      <w:r>
        <w:rPr>
          <w:b/>
          <w:color w:val="1E3A8A"/>
          <w:sz w:val="32"/>
        </w:rPr>
        <w:t>2. Vetores de ataque</w:t>
      </w:r>
    </w:p>
    <w:p>
      <w:r>
        <w:rPr>
          <w:color w:val="374151"/>
          <w:sz w:val="22"/>
        </w:rPr>
        <w:t>Os ataques à cadeia de fornecimento exploram a relação de confiança estabelecida entre a organização e os seus fornecedores. Os principais vetores identificados são os seguintes:</w:t>
      </w:r>
    </w:p>
    <w:p>
      <w:pPr>
        <w:pStyle w:val="ListParagraph"/>
      </w:pPr>
      <w:r>
        <w:rPr>
          <w:color w:val="374151"/>
          <w:sz w:val="22"/>
        </w:rPr>
        <w:t>Atualização de software comprometida: o fornecedor distribui uma atualização legítima que contém código malicioso inserido pelo atacante (ex: SolarWinds SUNBURST). A atualização é assinada digitalmente pelo fornecedor, tornando-a difícil de detetar.</w:t>
      </w:r>
    </w:p>
    <w:p>
      <w:pPr>
        <w:pStyle w:val="ListParagraph"/>
      </w:pPr>
      <w:r>
        <w:rPr>
          <w:color w:val="374151"/>
          <w:sz w:val="22"/>
        </w:rPr>
        <w:t>Hardware adulterado: componentes de hardware (routers, switches, servidores) com firmware modificado antes da entrega. Relevante para infraestruturas críticas e equipamentos provenientes de fornecedores de alto risco.</w:t>
      </w:r>
    </w:p>
    <w:p>
      <w:pPr>
        <w:pStyle w:val="ListParagraph"/>
      </w:pPr>
      <w:r>
        <w:rPr>
          <w:color w:val="374151"/>
          <w:sz w:val="22"/>
        </w:rPr>
        <w:t>Credenciais de MSP comprometidas: o atacante compromete as credenciais de um MSP que tem acesso privilegiado aos sistemas do cliente, utilizando esse acesso para instalar ransomware ou exfiltrar dados (ex: ataque Kaseya).</w:t>
      </w:r>
    </w:p>
    <w:p>
      <w:pPr>
        <w:pStyle w:val="ListParagraph"/>
      </w:pPr>
      <w:r>
        <w:rPr>
          <w:color w:val="374151"/>
          <w:sz w:val="22"/>
        </w:rPr>
        <w:t>Dependências de software de código aberto: inserção de código malicioso em bibliotecas de código aberto amplamente utilizadas (ex: evento npm event-stream, Log4Shell). Afeta organizações que utilizam essas bibliotecas nos seus sistemas.</w:t>
      </w:r>
    </w:p>
    <w:p>
      <w:pPr>
        <w:pStyle w:val="Heading1"/>
      </w:pPr>
      <w:r>
        <w:rPr>
          <w:b/>
          <w:color w:val="1E3A8A"/>
          <w:sz w:val="32"/>
        </w:rPr>
        <w:t>3. Deteção</w:t>
      </w:r>
    </w:p>
    <w:p>
      <w:r>
        <w:rPr>
          <w:color w:val="374151"/>
          <w:sz w:val="22"/>
        </w:rPr>
        <w:t>A deteção de ataques à cadeia de fornecimento é particularmente desafiante porque o tráfego e as ações maliciosas mimetizam comportamentos legítimos do fornecedor comprometido. Os seguintes mecanismos de deteção devem estar implementados:</w:t>
      </w:r>
    </w:p>
    <w:p>
      <w:pPr>
        <w:pStyle w:val="ListParagraph"/>
      </w:pPr>
      <w:r>
        <w:rPr>
          <w:color w:val="374151"/>
          <w:sz w:val="22"/>
        </w:rPr>
        <w:t>Monitorização de comportamento anómalo de processos legítimos: detetar processos conhecidos (ex: agentes de monitorização) que estabeleçam ligações de rede não habituais, acedam a ficheiros sensíveis ou executem comandos fora do padrão.</w:t>
      </w:r>
    </w:p>
    <w:p>
      <w:pPr>
        <w:pStyle w:val="ListParagraph"/>
      </w:pPr>
      <w:r>
        <w:rPr>
          <w:color w:val="374151"/>
          <w:sz w:val="22"/>
        </w:rPr>
        <w:t>Alertas de intelligence de ameaças: subscrever feeds de inteligência de ameaças (MISP, CNCS, ENISA, ISACs sectoriais) que notifiquem sobre fornecedores comprometidos ou indicadores de comprometimento (IoCs) associados a ataques à cadeia de fornecimento.</w:t>
      </w:r>
    </w:p>
    <w:p>
      <w:pPr>
        <w:pStyle w:val="ListParagraph"/>
      </w:pPr>
      <w:r>
        <w:rPr>
          <w:color w:val="374151"/>
          <w:sz w:val="22"/>
        </w:rPr>
        <w:t>Verificação de integridade de software: implementar verificação de hash e assinatura digital de todas as atualizações de software antes da instalação. Monitorizar alterações em binários de sistemas críticos.</w:t>
      </w:r>
    </w:p>
    <w:p>
      <w:pPr>
        <w:pStyle w:val="ListParagraph"/>
      </w:pPr>
      <w:r>
        <w:rPr>
          <w:color w:val="374151"/>
          <w:sz w:val="22"/>
        </w:rPr>
        <w:t>Auditoria de acessos de terceiros: rever regularmente os acessos concedidos a MSPs e fornecedores, verificando se o âmbito e os privilégios são os mínimos necessários para a prestação do serviço.</w:t>
      </w:r>
    </w:p>
    <w:p>
      <w:pPr>
        <w:pStyle w:val="Heading1"/>
      </w:pPr>
      <w:r>
        <w:rPr>
          <w:b/>
          <w:color w:val="1E3A8A"/>
          <w:sz w:val="32"/>
        </w:rPr>
        <w:t>4. Contenção — isolar o fornecedor</w:t>
      </w:r>
    </w:p>
    <w:p>
      <w:r>
        <w:rPr>
          <w:color w:val="374151"/>
          <w:sz w:val="22"/>
        </w:rPr>
        <w:t>Quando é confirmado ou fortemente suspeito um comprometimento via cadeia de fornecimento, a ação imediata de contenção é isolar o vetor de ataque, o que geralmente implica cortar o acesso do fornecedor comprometido aos sistemas da organização.</w:t>
      </w:r>
    </w:p>
    <w:p>
      <w:pPr>
        <w:pStyle w:val="ListParagraph"/>
      </w:pPr>
      <w:r>
        <w:rPr>
          <w:color w:val="374151"/>
          <w:sz w:val="22"/>
        </w:rPr>
        <w:t>Revogar imediatamente todos os acessos do fornecedor comprometido: credenciais VPN, chaves SSH, tokens de API, acessos RDP e permissões em plataformas cloud. Documentar todos os acessos revogados.</w:t>
      </w:r>
    </w:p>
    <w:p>
      <w:pPr>
        <w:pStyle w:val="ListParagraph"/>
      </w:pPr>
      <w:r>
        <w:rPr>
          <w:color w:val="374151"/>
          <w:sz w:val="22"/>
        </w:rPr>
        <w:t>Bloquear comunicações de rede: implementar regras de firewall para bloquear todo o tráfego de e para os sistemas do fornecedor comprometido. Manter lista de IPs e domínios associados ao fornecedor para bloqueio eficaz.</w:t>
      </w:r>
    </w:p>
    <w:p>
      <w:pPr>
        <w:pStyle w:val="ListParagraph"/>
      </w:pPr>
      <w:r>
        <w:rPr>
          <w:color w:val="374151"/>
          <w:sz w:val="22"/>
        </w:rPr>
        <w:t>Isolar sistemas possivelmente afetados: identificar todos os sistemas que tinham o software comprometido instalado ou que receberam atualizações do fornecedor no período relevante. Isolá-los da rede até análise forense.</w:t>
      </w:r>
    </w:p>
    <w:p>
      <w:pPr>
        <w:pStyle w:val="ListParagraph"/>
      </w:pPr>
      <w:r>
        <w:rPr>
          <w:color w:val="374151"/>
          <w:sz w:val="22"/>
        </w:rPr>
        <w:t>Reverter para estado limpo verificado: restaurar sistemas afetados a partir de backups anteriores ao período de comprometimento, se identificado. Verificar a integridade dos backups antes de restaurar.</w:t>
      </w:r>
    </w:p>
    <w:p>
      <w:pPr>
        <w:pStyle w:val="Heading1"/>
      </w:pPr>
      <w:r>
        <w:rPr>
          <w:b/>
          <w:color w:val="1E3A8A"/>
          <w:sz w:val="32"/>
        </w:rPr>
        <w:t>5. Comunicação a clientes e regulador</w:t>
      </w:r>
    </w:p>
    <w:p>
      <w:r>
        <w:rPr>
          <w:color w:val="374151"/>
          <w:sz w:val="22"/>
        </w:rPr>
        <w:t>Se a organização for simultaneamente vítima e prestadora de serviços a outras entidades, pode existir obrigação de notificar os seus próprios clientes sobre o potencial impacto do incidente, bem como o regulador competente.</w:t>
      </w:r>
    </w:p>
    <w:p>
      <w:pPr>
        <w:pStyle w:val="ListParagraph"/>
      </w:pPr>
      <w:r>
        <w:rPr>
          <w:color w:val="374151"/>
          <w:sz w:val="22"/>
        </w:rPr>
        <w:t>Notificação ao CNCS: avaliar a obrigação de notificação nos prazos previstos no Art. 34.º do DL 125/2025 — alerta inicial em 24 horas, notificação intercalar em 72 horas, relatório final em 30 dias.</w:t>
      </w:r>
    </w:p>
    <w:p>
      <w:pPr>
        <w:pStyle w:val="ListParagraph"/>
      </w:pPr>
      <w:r>
        <w:rPr>
          <w:color w:val="374151"/>
          <w:sz w:val="22"/>
        </w:rPr>
        <w:t>Comunicação a clientes afetados: se dados ou serviços de clientes foram comprometidos, notificar em conformidade com os contratos e com o RGPD (Art. 33.º RGPD — notificação à CNPD em 72 horas; Art. 34.º RGPD — notificação aos titulares se risco elevado).</w:t>
      </w:r>
    </w:p>
    <w:p>
      <w:pPr>
        <w:pStyle w:val="ListParagraph"/>
      </w:pPr>
      <w:r>
        <w:rPr>
          <w:color w:val="374151"/>
          <w:sz w:val="22"/>
        </w:rPr>
        <w:t>Coordenação com o fornecedor comprometido: manter comunicação formal com o fornecedor sobre o âmbito do comprometimento, as versões afetadas, os IoCs disponibilizados e o calendário de remediação. Solicitar relatório forense.</w:t>
      </w:r>
    </w:p>
    <w:p>
      <w:pPr>
        <w:pStyle w:val="Heading1"/>
      </w:pPr>
      <w:r>
        <w:rPr>
          <w:b/>
          <w:color w:val="1E3A8A"/>
          <w:sz w:val="32"/>
        </w:rPr>
        <w:t>6. Referência legal — Art. 27.º alínea c) do DL 125/2025</w:t>
      </w:r>
    </w:p>
    <w:p>
      <w:r>
        <w:rPr>
          <w:color w:val="374151"/>
          <w:sz w:val="22"/>
        </w:rPr>
        <w:t>O Art. 27.º alínea c) do Decreto-Lei n.º 125/2025 estabelece que as entidades abrangidas devem implementar medidas de segurança da cadeia de fornecimento, incluindo aspetos de segurança relativos às relações entre cada entidade e os seus fornecedores ou prestadores de serviços diretos.</w:t>
      </w:r>
    </w:p>
    <w:p>
      <w:pPr>
        <w:pStyle w:val="ListParagraph"/>
      </w:pPr>
      <w:r>
        <w:rPr>
          <w:color w:val="374151"/>
          <w:sz w:val="22"/>
        </w:rPr>
        <w:t>Avaliação de risco de fornecedores: as práticas de segurança dos fornecedores de TIC devem ser avaliadas na fase de seleção e revistas periodicamente. Incluir cláusulas de segurança e auditoria nos contratos.</w:t>
      </w:r>
    </w:p>
    <w:p>
      <w:pPr>
        <w:pStyle w:val="ListParagraph"/>
      </w:pPr>
      <w:r>
        <w:rPr>
          <w:color w:val="374151"/>
          <w:sz w:val="22"/>
        </w:rPr>
        <w:t>Gestão de vulnerabilidades da cadeia de fornecimento: monitorizar vulnerabilidades conhecidas (CVEs) nos produtos dos fornecedores utilizados e implementar patches em prazos adequados ao nível de risco.</w:t>
      </w:r>
    </w:p>
    <w:p>
      <w:pPr>
        <w:pStyle w:val="ListParagraph"/>
      </w:pPr>
      <w:r>
        <w:rPr>
          <w:color w:val="374151"/>
          <w:sz w:val="22"/>
        </w:rPr>
        <w:t>Plano de continuidade independente do fornecedor: manter capacidade de operar independentemente de cada fornecedor crítico, através de fornecedores alternativos identificados ou capacidades internas de contingência.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operações de TI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