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Política de Aquisição, Desenvolvimento e Manutenção de Sistemas TIC</w:t>
      </w:r>
    </w:p>
    <w:p>
      <w:pPr>
        <w:spacing w:after="1200"/>
        <w:jc w:val="center"/>
      </w:pPr>
      <w:r>
        <w:rPr>
          <w:color w:val="374151"/>
          <w:sz w:val="22"/>
          <w:szCs w:val="22"/>
          <w:rFonts w:ascii="Calibri" w:cs="Calibri" w:eastAsia="Calibri" w:hAnsi="Calibri"/>
        </w:rPr>
        <w:t xml:space="preserve">Conformidade com DL 125/2025 (NIS2) e CIR 2024/2690 — Anexo 6.1-6.5</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pPr>
        <w:pageBreakBefore/>
      </w:pPr>
      <w:r>
        <w:br/>
      </w:r>
    </w:p>
    <w:p>
      <w:pPr>
        <w:pStyle w:val="Heading1"/>
        <w:spacing w:before="400" w:after="200"/>
      </w:pPr>
      <w:r>
        <w:rPr>
          <w:b/>
          <w:bCs/>
          <w:color w:val="1e3a8a"/>
          <w:sz w:val="32"/>
          <w:szCs w:val="32"/>
          <w:rFonts w:ascii="Calibri" w:cs="Calibri" w:eastAsia="Calibri" w:hAnsi="Calibri"/>
        </w:rPr>
        <w:t xml:space="preserve">1. Objetivo e Âmbito</w:t>
      </w:r>
    </w:p>
    <w:p>
      <w:pPr>
        <w:shd w:color="dbeafe" w:val="solid"/>
        <w:spacing w:before="160" w:after="160"/>
        <w:ind w:left="360" w:right="360"/>
      </w:pPr>
      <w:r>
        <w:rPr>
          <w:i/>
          <w:iCs/>
          <w:color w:val="1e3a8a"/>
          <w:sz w:val="22"/>
          <w:szCs w:val="22"/>
          <w:rFonts w:ascii="Calibri" w:cs="Calibri" w:eastAsia="Calibri" w:hAnsi="Calibri"/>
        </w:rPr>
        <w:t xml:space="preserve">Referência legal: Art. 21(2)(e) Diretiva NIS2 | Art. 26.º DL 125/2025 | CIR 2024/2690, Anexo 6.1-6.5</w:t>
      </w:r>
    </w:p>
    <w:p>
      <w:pPr>
        <w:spacing w:after="160"/>
      </w:pPr>
      <w:r>
        <w:rPr>
          <w:color w:val="374151"/>
          <w:sz w:val="22"/>
          <w:szCs w:val="22"/>
          <w:rFonts w:ascii="Calibri" w:cs="Calibri" w:eastAsia="Calibri" w:hAnsi="Calibri"/>
        </w:rPr>
        <w:t xml:space="preserve">A presente política define os requisitos de segurança aplicáveis ao ciclo de vida completo dos sistemas de tecnologias de informação e comunicação (TIC) da organização, desde a aquisição ou início do desenvolvimento até ao descomissionamento. Abrange hardware, software, sistemas cloud, aplicações desenvolvidas internamente e serviços TIC prestados por terceiros.</w:t>
      </w:r>
    </w:p>
    <w:p>
      <w:pPr>
        <w:spacing w:after="160"/>
      </w:pPr>
      <w:r>
        <w:rPr>
          <w:color w:val="374151"/>
          <w:sz w:val="22"/>
          <w:szCs w:val="22"/>
          <w:rFonts w:ascii="Calibri" w:cs="Calibri" w:eastAsia="Calibri" w:hAnsi="Calibri"/>
        </w:rPr>
        <w:t xml:space="preserve">O objetivo é garantir que todos os sistemas TIC são adquiridos, desenvolvidos, mantidos e descomissionados de forma segura, minimizando o risco de incidentes de cibersegurança ao longo de todo o ciclo de vida, em cumprimento do Art. 21(2)(e) da Diretiva NIS2 e do Art. 26.º do DL 125/2025.</w:t>
      </w:r>
    </w:p>
    <w:p>
      <w:pPr>
        <w:pStyle w:val="Heading2"/>
        <w:spacing w:before="320" w:after="160"/>
      </w:pPr>
      <w:r>
        <w:rPr>
          <w:b/>
          <w:bCs/>
          <w:color w:val="1e3a8a"/>
          <w:sz w:val="28"/>
          <w:szCs w:val="28"/>
          <w:rFonts w:ascii="Calibri" w:cs="Calibri" w:eastAsia="Calibri" w:hAnsi="Calibri"/>
        </w:rPr>
        <w:t xml:space="preserve">1.1 Âmbito de Aplicação</w:t>
      </w:r>
    </w:p>
    <w:p>
      <w:pPr>
        <w:pStyle w:val="ListParagraph"/>
        <w:numPr>
          <w:ilvl w:val="0"/>
          <w:numId w:val="1"/>
        </w:numPr>
        <w:spacing w:after="80"/>
      </w:pPr>
      <w:r>
        <w:rPr>
          <w:color w:val="374151"/>
          <w:sz w:val="22"/>
          <w:szCs w:val="22"/>
          <w:rFonts w:ascii="Calibri" w:cs="Calibri" w:eastAsia="Calibri" w:hAnsi="Calibri"/>
        </w:rPr>
        <w:t xml:space="preserve">Todos os sistemas de informação e comunicação da organização, independentemente do modelo de implementação (on-premises, cloud, híbrido)</w:t>
      </w:r>
    </w:p>
    <w:p>
      <w:pPr>
        <w:pStyle w:val="ListParagraph"/>
        <w:numPr>
          <w:ilvl w:val="0"/>
          <w:numId w:val="1"/>
        </w:numPr>
        <w:spacing w:after="80"/>
      </w:pPr>
      <w:r>
        <w:rPr>
          <w:color w:val="374151"/>
          <w:sz w:val="22"/>
          <w:szCs w:val="22"/>
          <w:rFonts w:ascii="Calibri" w:cs="Calibri" w:eastAsia="Calibri" w:hAnsi="Calibri"/>
        </w:rPr>
        <w:t xml:space="preserve">Aplicações desenvolvidas internamente e por terceiros para a organização</w:t>
      </w:r>
    </w:p>
    <w:p>
      <w:pPr>
        <w:pStyle w:val="ListParagraph"/>
        <w:numPr>
          <w:ilvl w:val="0"/>
          <w:numId w:val="1"/>
        </w:numPr>
        <w:spacing w:after="80"/>
      </w:pPr>
      <w:r>
        <w:rPr>
          <w:color w:val="374151"/>
          <w:sz w:val="22"/>
          <w:szCs w:val="22"/>
          <w:rFonts w:ascii="Calibri" w:cs="Calibri" w:eastAsia="Calibri" w:hAnsi="Calibri"/>
        </w:rPr>
        <w:t xml:space="preserve">Hardware e infraestrutura de rede</w:t>
      </w:r>
    </w:p>
    <w:p>
      <w:pPr>
        <w:pStyle w:val="ListParagraph"/>
        <w:numPr>
          <w:ilvl w:val="0"/>
          <w:numId w:val="1"/>
        </w:numPr>
        <w:spacing w:after="80"/>
      </w:pPr>
      <w:r>
        <w:rPr>
          <w:color w:val="374151"/>
          <w:sz w:val="22"/>
          <w:szCs w:val="22"/>
          <w:rFonts w:ascii="Calibri" w:cs="Calibri" w:eastAsia="Calibri" w:hAnsi="Calibri"/>
        </w:rPr>
        <w:t xml:space="preserve">Serviços cloud (SaaS, PaaS, IaaS) utilizados pela organização</w:t>
      </w:r>
    </w:p>
    <w:p>
      <w:pPr>
        <w:pStyle w:val="ListParagraph"/>
        <w:numPr>
          <w:ilvl w:val="0"/>
          <w:numId w:val="1"/>
        </w:numPr>
        <w:spacing w:after="80"/>
      </w:pPr>
      <w:r>
        <w:rPr>
          <w:color w:val="374151"/>
          <w:sz w:val="22"/>
          <w:szCs w:val="22"/>
          <w:rFonts w:ascii="Calibri" w:cs="Calibri" w:eastAsia="Calibri" w:hAnsi="Calibri"/>
        </w:rPr>
        <w:t xml:space="preserve">Sistemas de controlo industrial (OT/ICS) se aplicável ao setor da organização</w:t>
      </w:r>
    </w:p>
    <w:p>
      <w:pPr>
        <w:pStyle w:val="Heading1"/>
        <w:spacing w:before="400" w:after="200"/>
      </w:pPr>
      <w:r>
        <w:rPr>
          <w:b/>
          <w:bCs/>
          <w:color w:val="1e3a8a"/>
          <w:sz w:val="32"/>
          <w:szCs w:val="32"/>
          <w:rFonts w:ascii="Calibri" w:cs="Calibri" w:eastAsia="Calibri" w:hAnsi="Calibri"/>
        </w:rPr>
        <w:t xml:space="preserve">2. Enquadramento Legal e Normativo</w:t>
      </w:r>
    </w:p>
    <w:p>
      <w:pPr>
        <w:shd w:color="dbeafe" w:val="solid"/>
        <w:spacing w:before="160" w:after="160"/>
        <w:ind w:left="360" w:right="360"/>
      </w:pPr>
      <w:r>
        <w:rPr>
          <w:i/>
          <w:iCs/>
          <w:color w:val="1e3a8a"/>
          <w:sz w:val="22"/>
          <w:szCs w:val="22"/>
          <w:rFonts w:ascii="Calibri" w:cs="Calibri" w:eastAsia="Calibri" w:hAnsi="Calibri"/>
        </w:rPr>
        <w:t xml:space="preserve">Referência legal: Art. 21(2)(e) Diretiva NIS2 | Art. 26.º DL 125/2025 | CIR 2024/2690, Anexo 6.1-6.5</w:t>
      </w:r>
    </w:p>
    <w:p>
      <w:pPr>
        <w:spacing w:after="160"/>
      </w:pPr>
      <w:r>
        <w:rPr>
          <w:color w:val="374151"/>
          <w:sz w:val="22"/>
          <w:szCs w:val="22"/>
          <w:rFonts w:ascii="Calibri" w:cs="Calibri" w:eastAsia="Calibri" w:hAnsi="Calibri"/>
        </w:rPr>
        <w:t xml:space="preserve">Esta política é elaborada em cumprimento das obrigações estabelecidas pelo quadro regulatório de cibersegurança aplicável, nomeadamente:</w:t>
      </w:r>
    </w:p>
    <w:p>
      <w:pPr>
        <w:pStyle w:val="ListParagraph"/>
        <w:numPr>
          <w:ilvl w:val="0"/>
          <w:numId w:val="1"/>
        </w:numPr>
        <w:spacing w:after="80"/>
      </w:pPr>
      <w:r>
        <w:rPr>
          <w:color w:val="374151"/>
          <w:sz w:val="22"/>
          <w:szCs w:val="22"/>
          <w:rFonts w:ascii="Calibri" w:cs="Calibri" w:eastAsia="Calibri" w:hAnsi="Calibri"/>
        </w:rPr>
        <w:t xml:space="preserve">Diretiva (UE) 2022/2555 (NIS2) — Art. 21(2)(e): segurança na aquisição, desenvolvimento e manutenção de sistemas de informação e redes</w:t>
      </w:r>
    </w:p>
    <w:p>
      <w:pPr>
        <w:pStyle w:val="ListParagraph"/>
        <w:numPr>
          <w:ilvl w:val="0"/>
          <w:numId w:val="1"/>
        </w:numPr>
        <w:spacing w:after="80"/>
      </w:pPr>
      <w:r>
        <w:rPr>
          <w:color w:val="374151"/>
          <w:sz w:val="22"/>
          <w:szCs w:val="22"/>
          <w:rFonts w:ascii="Calibri" w:cs="Calibri" w:eastAsia="Calibri" w:hAnsi="Calibri"/>
        </w:rPr>
        <w:t xml:space="preserve">Decreto-Lei n.º 125/2025, de 12 de março — Art. 26.º: medidas de gestão de riscos de cibersegurança</w:t>
      </w:r>
    </w:p>
    <w:p>
      <w:pPr>
        <w:pStyle w:val="ListParagraph"/>
        <w:numPr>
          <w:ilvl w:val="0"/>
          <w:numId w:val="1"/>
        </w:numPr>
        <w:spacing w:after="80"/>
      </w:pPr>
      <w:r>
        <w:rPr>
          <w:color w:val="374151"/>
          <w:sz w:val="22"/>
          <w:szCs w:val="22"/>
          <w:rFonts w:ascii="Calibri" w:cs="Calibri" w:eastAsia="Calibri" w:hAnsi="Calibri"/>
        </w:rPr>
        <w:t xml:space="preserve">Regulamento de Execução (UE) 2024/2690 (CIR) — Anexo 6: requisitos para sistemas de informação</w:t>
      </w:r>
    </w:p>
    <w:p>
      <w:pPr>
        <w:pStyle w:val="ListParagraph"/>
        <w:numPr>
          <w:ilvl w:val="0"/>
          <w:numId w:val="1"/>
        </w:numPr>
        <w:spacing w:after="80"/>
      </w:pPr>
      <w:r>
        <w:rPr>
          <w:color w:val="374151"/>
          <w:sz w:val="22"/>
          <w:szCs w:val="22"/>
          <w:rFonts w:ascii="Calibri" w:cs="Calibri" w:eastAsia="Calibri" w:hAnsi="Calibri"/>
        </w:rPr>
        <w:t xml:space="preserve">Norma ISO/IEC 27001:2022 — Controlo A.8: gestão de ativos e segurança de sistemas</w:t>
      </w:r>
    </w:p>
    <w:p>
      <w:pPr>
        <w:pStyle w:val="ListParagraph"/>
        <w:numPr>
          <w:ilvl w:val="0"/>
          <w:numId w:val="1"/>
        </w:numPr>
        <w:spacing w:after="80"/>
      </w:pPr>
      <w:r>
        <w:rPr>
          <w:color w:val="374151"/>
          <w:sz w:val="22"/>
          <w:szCs w:val="22"/>
          <w:rFonts w:ascii="Calibri" w:cs="Calibri" w:eastAsia="Calibri" w:hAnsi="Calibri"/>
        </w:rPr>
        <w:t xml:space="preserve">OWASP Top 10 e OWASP Application Security Verification Standard (ASVS) para desenvolvimento seguro</w:t>
      </w:r>
    </w:p>
    <w:p>
      <w:pPr>
        <w:pStyle w:val="ListParagraph"/>
        <w:numPr>
          <w:ilvl w:val="0"/>
          <w:numId w:val="1"/>
        </w:numPr>
        <w:spacing w:after="80"/>
      </w:pPr>
      <w:r>
        <w:rPr>
          <w:color w:val="374151"/>
          <w:sz w:val="22"/>
          <w:szCs w:val="22"/>
          <w:rFonts w:ascii="Calibri" w:cs="Calibri" w:eastAsia="Calibri" w:hAnsi="Calibri"/>
        </w:rPr>
        <w:t xml:space="preserve">NIST Cybersecurity Framework e CIS Controls para hardening e gestão de vulnerabilidades</w:t>
      </w:r>
    </w:p>
    <w:p>
      <w:pPr>
        <w:pStyle w:val="Heading1"/>
        <w:spacing w:before="400" w:after="200"/>
      </w:pPr>
      <w:r>
        <w:rPr>
          <w:b/>
          <w:bCs/>
          <w:color w:val="1e3a8a"/>
          <w:sz w:val="32"/>
          <w:szCs w:val="32"/>
          <w:rFonts w:ascii="Calibri" w:cs="Calibri" w:eastAsia="Calibri" w:hAnsi="Calibri"/>
        </w:rPr>
        <w:t xml:space="preserve">3. Requisitos de Segurança na Aquisição</w:t>
      </w:r>
    </w:p>
    <w:p>
      <w:pPr>
        <w:shd w:color="dbeafe" w:val="solid"/>
        <w:spacing w:before="160" w:after="160"/>
        <w:ind w:left="360" w:right="360"/>
      </w:pPr>
      <w:r>
        <w:rPr>
          <w:i/>
          <w:iCs/>
          <w:color w:val="1e3a8a"/>
          <w:sz w:val="22"/>
          <w:szCs w:val="22"/>
          <w:rFonts w:ascii="Calibri" w:cs="Calibri" w:eastAsia="Calibri" w:hAnsi="Calibri"/>
        </w:rPr>
        <w:t xml:space="preserve">Referência legal: CIR 2024/2690, Anexo 6.1 — Aquisição segura de sistemas TIC</w:t>
      </w:r>
    </w:p>
    <w:p>
      <w:pPr>
        <w:spacing w:after="160"/>
      </w:pPr>
      <w:r>
        <w:rPr>
          <w:color w:val="374151"/>
          <w:sz w:val="22"/>
          <w:szCs w:val="22"/>
          <w:rFonts w:ascii="Calibri" w:cs="Calibri" w:eastAsia="Calibri" w:hAnsi="Calibri"/>
        </w:rPr>
        <w:t xml:space="preserve">Antes de adquirir qualquer sistema TIC, a organização realiza uma avaliação de segurança para garantir que o produto ou serviço cumpre os requisitos mínimos de segurança definidos nesta política.</w:t>
      </w:r>
    </w:p>
    <w:p>
      <w:pPr>
        <w:pStyle w:val="Heading2"/>
        <w:spacing w:before="320" w:after="160"/>
      </w:pPr>
      <w:r>
        <w:rPr>
          <w:b/>
          <w:bCs/>
          <w:color w:val="1e3a8a"/>
          <w:sz w:val="28"/>
          <w:szCs w:val="28"/>
          <w:rFonts w:ascii="Calibri" w:cs="Calibri" w:eastAsia="Calibri" w:hAnsi="Calibri"/>
        </w:rPr>
        <w:t xml:space="preserve">3.1 Avaliação de Fornecedores</w:t>
      </w:r>
    </w:p>
    <w:p>
      <w:pPr>
        <w:pStyle w:val="ListParagraph"/>
        <w:numPr>
          <w:ilvl w:val="0"/>
          <w:numId w:val="1"/>
        </w:numPr>
        <w:spacing w:after="80"/>
      </w:pPr>
      <w:r>
        <w:rPr>
          <w:color w:val="374151"/>
          <w:sz w:val="22"/>
          <w:szCs w:val="22"/>
          <w:rFonts w:ascii="Calibri" w:cs="Calibri" w:eastAsia="Calibri" w:hAnsi="Calibri"/>
        </w:rPr>
        <w:t xml:space="preserve">Todos os fornecedores de sistemas TIC críticos devem ser sujeitos a um processo de due diligence de segurança antes da contratação</w:t>
      </w:r>
    </w:p>
    <w:p>
      <w:pPr>
        <w:pStyle w:val="ListParagraph"/>
        <w:numPr>
          <w:ilvl w:val="0"/>
          <w:numId w:val="1"/>
        </w:numPr>
        <w:spacing w:after="80"/>
      </w:pPr>
      <w:r>
        <w:rPr>
          <w:color w:val="374151"/>
          <w:sz w:val="22"/>
          <w:szCs w:val="22"/>
          <w:rFonts w:ascii="Calibri" w:cs="Calibri" w:eastAsia="Calibri" w:hAnsi="Calibri"/>
        </w:rPr>
        <w:t xml:space="preserve">A avaliação inclui: análise da postura de segurança, histórico de vulnerabilidades nos seus produtos, práticas de desenvolvimento seguro e suporte a patches</w:t>
      </w:r>
    </w:p>
    <w:p>
      <w:pPr>
        <w:pStyle w:val="ListParagraph"/>
        <w:numPr>
          <w:ilvl w:val="0"/>
          <w:numId w:val="1"/>
        </w:numPr>
        <w:spacing w:after="80"/>
      </w:pPr>
      <w:r>
        <w:rPr>
          <w:color w:val="374151"/>
          <w:sz w:val="22"/>
          <w:szCs w:val="22"/>
          <w:rFonts w:ascii="Calibri" w:cs="Calibri" w:eastAsia="Calibri" w:hAnsi="Calibri"/>
        </w:rPr>
        <w:t xml:space="preserve">Fornecedores com historial de vulnerabilidades não remediadas ou sem política de divulgação responsável devem ser evitados</w:t>
      </w:r>
    </w:p>
    <w:p>
      <w:pPr>
        <w:pStyle w:val="ListParagraph"/>
        <w:numPr>
          <w:ilvl w:val="0"/>
          <w:numId w:val="1"/>
        </w:numPr>
        <w:spacing w:after="80"/>
      </w:pPr>
      <w:r>
        <w:rPr>
          <w:color w:val="374151"/>
          <w:sz w:val="22"/>
          <w:szCs w:val="22"/>
          <w:rFonts w:ascii="Calibri" w:cs="Calibri" w:eastAsia="Calibri" w:hAnsi="Calibri"/>
        </w:rPr>
        <w:t xml:space="preserve">Para sistemas críticos, é recomendada a exigência de certificação de segurança reconhecida (ex.: CC, FIPS 140-2) ou conformidade com CRA (Cyber Resilience Act)</w:t>
      </w:r>
    </w:p>
    <w:p>
      <w:pPr>
        <w:pStyle w:val="Heading2"/>
        <w:spacing w:before="320" w:after="160"/>
      </w:pPr>
      <w:r>
        <w:rPr>
          <w:b/>
          <w:bCs/>
          <w:color w:val="1e3a8a"/>
          <w:sz w:val="28"/>
          <w:szCs w:val="28"/>
          <w:rFonts w:ascii="Calibri" w:cs="Calibri" w:eastAsia="Calibri" w:hAnsi="Calibri"/>
        </w:rPr>
        <w:t xml:space="preserve">3.2 Critérios de Seleção com Componente de Segurança</w:t>
      </w:r>
    </w:p>
    <w:p>
      <w:pPr>
        <w:pStyle w:val="ListParagraph"/>
        <w:numPr>
          <w:ilvl w:val="0"/>
          <w:numId w:val="1"/>
        </w:numPr>
        <w:spacing w:after="80"/>
      </w:pPr>
      <w:r>
        <w:rPr>
          <w:color w:val="374151"/>
          <w:sz w:val="22"/>
          <w:szCs w:val="22"/>
          <w:rFonts w:ascii="Calibri" w:cs="Calibri" w:eastAsia="Calibri" w:hAnsi="Calibri"/>
        </w:rPr>
        <w:t xml:space="preserve">Existência de política de gestão de vulnerabilidades e divulgação responsável (VDP/CVD)</w:t>
      </w:r>
    </w:p>
    <w:p>
      <w:pPr>
        <w:pStyle w:val="ListParagraph"/>
        <w:numPr>
          <w:ilvl w:val="0"/>
          <w:numId w:val="1"/>
        </w:numPr>
        <w:spacing w:after="80"/>
      </w:pPr>
      <w:r>
        <w:rPr>
          <w:color w:val="374151"/>
          <w:sz w:val="22"/>
          <w:szCs w:val="22"/>
          <w:rFonts w:ascii="Calibri" w:cs="Calibri" w:eastAsia="Calibri" w:hAnsi="Calibri"/>
        </w:rPr>
        <w:t xml:space="preserve">Compromisso de suporte de segurança e fornecimento de patches por período mínimo definido</w:t>
      </w:r>
    </w:p>
    <w:p>
      <w:pPr>
        <w:pStyle w:val="ListParagraph"/>
        <w:numPr>
          <w:ilvl w:val="0"/>
          <w:numId w:val="1"/>
        </w:numPr>
        <w:spacing w:after="80"/>
      </w:pPr>
      <w:r>
        <w:rPr>
          <w:color w:val="374151"/>
          <w:sz w:val="22"/>
          <w:szCs w:val="22"/>
          <w:rFonts w:ascii="Calibri" w:cs="Calibri" w:eastAsia="Calibri" w:hAnsi="Calibri"/>
        </w:rPr>
        <w:t xml:space="preserve">Disponibilidade de SBOM (Software Bill of Materials) para avaliação de componentes de terceiros</w:t>
      </w:r>
    </w:p>
    <w:p>
      <w:pPr>
        <w:pStyle w:val="ListParagraph"/>
        <w:numPr>
          <w:ilvl w:val="0"/>
          <w:numId w:val="1"/>
        </w:numPr>
        <w:spacing w:after="80"/>
      </w:pPr>
      <w:r>
        <w:rPr>
          <w:color w:val="374151"/>
          <w:sz w:val="22"/>
          <w:szCs w:val="22"/>
          <w:rFonts w:ascii="Calibri" w:cs="Calibri" w:eastAsia="Calibri" w:hAnsi="Calibri"/>
        </w:rPr>
        <w:t xml:space="preserve">Conformidade com regulamentação aplicável (RGPD, NIS2, CRA)</w:t>
      </w:r>
    </w:p>
    <w:p>
      <w:pPr>
        <w:pStyle w:val="ListParagraph"/>
        <w:numPr>
          <w:ilvl w:val="0"/>
          <w:numId w:val="1"/>
        </w:numPr>
        <w:spacing w:after="80"/>
      </w:pPr>
      <w:r>
        <w:rPr>
          <w:color w:val="374151"/>
          <w:sz w:val="22"/>
          <w:szCs w:val="22"/>
          <w:rFonts w:ascii="Calibri" w:cs="Calibri" w:eastAsia="Calibri" w:hAnsi="Calibri"/>
        </w:rPr>
        <w:t xml:space="preserve">Capacidade de configuração segura e suporte a hardening</w:t>
      </w:r>
    </w:p>
    <w:p>
      <w:pPr>
        <w:pStyle w:val="ListParagraph"/>
        <w:numPr>
          <w:ilvl w:val="0"/>
          <w:numId w:val="1"/>
        </w:numPr>
        <w:spacing w:after="80"/>
      </w:pPr>
      <w:r>
        <w:rPr>
          <w:color w:val="374151"/>
          <w:sz w:val="22"/>
          <w:szCs w:val="22"/>
          <w:rFonts w:ascii="Calibri" w:cs="Calibri" w:eastAsia="Calibri" w:hAnsi="Calibri"/>
        </w:rPr>
        <w:t xml:space="preserve">Histórico transparente de resposta a vulnerabilidades identificadas</w:t>
      </w:r>
    </w:p>
    <w:p>
      <w:pPr>
        <w:pStyle w:val="Heading2"/>
        <w:spacing w:before="320" w:after="160"/>
      </w:pPr>
      <w:r>
        <w:rPr>
          <w:b/>
          <w:bCs/>
          <w:color w:val="1e3a8a"/>
          <w:sz w:val="28"/>
          <w:szCs w:val="28"/>
          <w:rFonts w:ascii="Calibri" w:cs="Calibri" w:eastAsia="Calibri" w:hAnsi="Calibri"/>
        </w:rPr>
        <w:t xml:space="preserve">3.3 Security by Design</w:t>
      </w:r>
    </w:p>
    <w:p>
      <w:pPr>
        <w:spacing w:after="160"/>
      </w:pPr>
      <w:r>
        <w:rPr>
          <w:color w:val="374151"/>
          <w:sz w:val="22"/>
          <w:szCs w:val="22"/>
          <w:rFonts w:ascii="Calibri" w:cs="Calibri" w:eastAsia="Calibri" w:hAnsi="Calibri"/>
        </w:rPr>
        <w:t xml:space="preserve">Em todas as aquisições, a organização deve exigir que os sistemas incluam funcionalidades de segurança por defeito (security by default) e que a segurança seja um requisito de arquitetura e não um add-on. Os requisitos de segurança devem estar incluídos nos critérios de avaliação dos concursos e RFPs.</w:t>
      </w:r>
    </w:p>
    <w:p>
      <w:pPr>
        <w:pStyle w:val="Heading1"/>
        <w:spacing w:before="400" w:after="200"/>
      </w:pPr>
      <w:r>
        <w:rPr>
          <w:b/>
          <w:bCs/>
          <w:color w:val="1e3a8a"/>
          <w:sz w:val="32"/>
          <w:szCs w:val="32"/>
          <w:rFonts w:ascii="Calibri" w:cs="Calibri" w:eastAsia="Calibri" w:hAnsi="Calibri"/>
        </w:rPr>
        <w:t xml:space="preserve">4. Configuração Segura (Hardening)</w:t>
      </w:r>
    </w:p>
    <w:p>
      <w:pPr>
        <w:shd w:color="dbeafe" w:val="solid"/>
        <w:spacing w:before="160" w:after="160"/>
        <w:ind w:left="360" w:right="360"/>
      </w:pPr>
      <w:r>
        <w:rPr>
          <w:i/>
          <w:iCs/>
          <w:color w:val="1e3a8a"/>
          <w:sz w:val="22"/>
          <w:szCs w:val="22"/>
          <w:rFonts w:ascii="Calibri" w:cs="Calibri" w:eastAsia="Calibri" w:hAnsi="Calibri"/>
        </w:rPr>
        <w:t xml:space="preserve">Referência legal: CIR 2024/2690, Anexo 6.2 — Configuração segura de sistemas</w:t>
      </w:r>
    </w:p>
    <w:p>
      <w:pPr>
        <w:spacing w:after="160"/>
      </w:pPr>
      <w:r>
        <w:rPr>
          <w:color w:val="374151"/>
          <w:sz w:val="22"/>
          <w:szCs w:val="22"/>
          <w:rFonts w:ascii="Calibri" w:cs="Calibri" w:eastAsia="Calibri" w:hAnsi="Calibri"/>
        </w:rPr>
        <w:t xml:space="preserve">Todos os sistemas TIC devem ser configurados de forma segura antes de serem colocados em produção. A configuração segura baseia-se no princípio do menor privilégio e na minimização da superfície de ataque.</w:t>
      </w:r>
    </w:p>
    <w:p>
      <w:pPr>
        <w:pStyle w:val="Heading2"/>
        <w:spacing w:before="320" w:after="160"/>
      </w:pPr>
      <w:r>
        <w:rPr>
          <w:b/>
          <w:bCs/>
          <w:color w:val="1e3a8a"/>
          <w:sz w:val="28"/>
          <w:szCs w:val="28"/>
          <w:rFonts w:ascii="Calibri" w:cs="Calibri" w:eastAsia="Calibri" w:hAnsi="Calibri"/>
        </w:rPr>
        <w:t xml:space="preserve">4.1 Baselines de Configuração</w:t>
      </w:r>
    </w:p>
    <w:p>
      <w:pPr>
        <w:pStyle w:val="ListParagraph"/>
        <w:numPr>
          <w:ilvl w:val="0"/>
          <w:numId w:val="1"/>
        </w:numPr>
        <w:spacing w:after="80"/>
      </w:pPr>
      <w:r>
        <w:rPr>
          <w:color w:val="374151"/>
          <w:sz w:val="22"/>
          <w:szCs w:val="22"/>
          <w:rFonts w:ascii="Calibri" w:cs="Calibri" w:eastAsia="Calibri" w:hAnsi="Calibri"/>
        </w:rPr>
        <w:t xml:space="preserve">Para cada tipo de sistema (servidores Windows, Linux, bases de dados, equipamentos de rede, endpoints), deve existir uma baseline de configuração segura documentada</w:t>
      </w:r>
    </w:p>
    <w:p>
      <w:pPr>
        <w:pStyle w:val="ListParagraph"/>
        <w:numPr>
          <w:ilvl w:val="0"/>
          <w:numId w:val="1"/>
        </w:numPr>
        <w:spacing w:after="80"/>
      </w:pPr>
      <w:r>
        <w:rPr>
          <w:color w:val="374151"/>
          <w:sz w:val="22"/>
          <w:szCs w:val="22"/>
          <w:rFonts w:ascii="Calibri" w:cs="Calibri" w:eastAsia="Calibri" w:hAnsi="Calibri"/>
        </w:rPr>
        <w:t xml:space="preserve">As baselines devem ser baseadas em referências reconhecidas: CIS Benchmarks, DISA STIGs, ou equivalentes fornecidos pelo fabricante</w:t>
      </w:r>
    </w:p>
    <w:p>
      <w:pPr>
        <w:pStyle w:val="ListParagraph"/>
        <w:numPr>
          <w:ilvl w:val="0"/>
          <w:numId w:val="1"/>
        </w:numPr>
        <w:spacing w:after="80"/>
      </w:pPr>
      <w:r>
        <w:rPr>
          <w:color w:val="374151"/>
          <w:sz w:val="22"/>
          <w:szCs w:val="22"/>
          <w:rFonts w:ascii="Calibri" w:cs="Calibri" w:eastAsia="Calibri" w:hAnsi="Calibri"/>
        </w:rPr>
        <w:t xml:space="preserve">Desvios às baselines só são permitidos com documentação da justificação e aprovação do CISO</w:t>
      </w:r>
    </w:p>
    <w:p>
      <w:pPr>
        <w:pStyle w:val="ListParagraph"/>
        <w:numPr>
          <w:ilvl w:val="0"/>
          <w:numId w:val="1"/>
        </w:numPr>
        <w:spacing w:after="80"/>
      </w:pPr>
      <w:r>
        <w:rPr>
          <w:color w:val="374151"/>
          <w:sz w:val="22"/>
          <w:szCs w:val="22"/>
          <w:rFonts w:ascii="Calibri" w:cs="Calibri" w:eastAsia="Calibri" w:hAnsi="Calibri"/>
        </w:rPr>
        <w:t xml:space="preserve">As baselines devem ser revistas e atualizadas pelo menos anualmente, ou quando o fabricante publicar novas recomendações</w:t>
      </w:r>
    </w:p>
    <w:p>
      <w:pPr>
        <w:pStyle w:val="Heading2"/>
        <w:spacing w:before="320" w:after="160"/>
      </w:pPr>
      <w:r>
        <w:rPr>
          <w:b/>
          <w:bCs/>
          <w:color w:val="1e3a8a"/>
          <w:sz w:val="28"/>
          <w:szCs w:val="28"/>
          <w:rFonts w:ascii="Calibri" w:cs="Calibri" w:eastAsia="Calibri" w:hAnsi="Calibri"/>
        </w:rPr>
        <w:t xml:space="preserve">4.2 Princípios de Hardening</w:t>
      </w:r>
    </w:p>
    <w:p>
      <w:pPr>
        <w:pStyle w:val="ListParagraph"/>
        <w:numPr>
          <w:ilvl w:val="0"/>
          <w:numId w:val="1"/>
        </w:numPr>
        <w:spacing w:after="80"/>
      </w:pPr>
      <w:r>
        <w:rPr>
          <w:color w:val="374151"/>
          <w:sz w:val="22"/>
          <w:szCs w:val="22"/>
          <w:rFonts w:ascii="Calibri" w:cs="Calibri" w:eastAsia="Calibri" w:hAnsi="Calibri"/>
        </w:rPr>
        <w:t xml:space="preserve">Remoção ou desativação de todos os serviços, portas e protocolos não necessários para a função do sistema</w:t>
      </w:r>
    </w:p>
    <w:p>
      <w:pPr>
        <w:pStyle w:val="ListParagraph"/>
        <w:numPr>
          <w:ilvl w:val="0"/>
          <w:numId w:val="1"/>
        </w:numPr>
        <w:spacing w:after="80"/>
      </w:pPr>
      <w:r>
        <w:rPr>
          <w:color w:val="374151"/>
          <w:sz w:val="22"/>
          <w:szCs w:val="22"/>
          <w:rFonts w:ascii="Calibri" w:cs="Calibri" w:eastAsia="Calibri" w:hAnsi="Calibri"/>
        </w:rPr>
        <w:t xml:space="preserve">Alteração de todas as credenciais por defeito antes da colocação em produção</w:t>
      </w:r>
    </w:p>
    <w:p>
      <w:pPr>
        <w:pStyle w:val="ListParagraph"/>
        <w:numPr>
          <w:ilvl w:val="0"/>
          <w:numId w:val="1"/>
        </w:numPr>
        <w:spacing w:after="80"/>
      </w:pPr>
      <w:r>
        <w:rPr>
          <w:color w:val="374151"/>
          <w:sz w:val="22"/>
          <w:szCs w:val="22"/>
          <w:rFonts w:ascii="Calibri" w:cs="Calibri" w:eastAsia="Calibri" w:hAnsi="Calibri"/>
        </w:rPr>
        <w:t xml:space="preserve">Ativação de logging e auditoria de acessos e alterações de configuração</w:t>
      </w:r>
    </w:p>
    <w:p>
      <w:pPr>
        <w:pStyle w:val="ListParagraph"/>
        <w:numPr>
          <w:ilvl w:val="0"/>
          <w:numId w:val="1"/>
        </w:numPr>
        <w:spacing w:after="80"/>
      </w:pPr>
      <w:r>
        <w:rPr>
          <w:color w:val="374151"/>
          <w:sz w:val="22"/>
          <w:szCs w:val="22"/>
          <w:rFonts w:ascii="Calibri" w:cs="Calibri" w:eastAsia="Calibri" w:hAnsi="Calibri"/>
        </w:rPr>
        <w:t xml:space="preserve">Implementação de firewall local e controlos de acesso à rede</w:t>
      </w:r>
    </w:p>
    <w:p>
      <w:pPr>
        <w:pStyle w:val="ListParagraph"/>
        <w:numPr>
          <w:ilvl w:val="0"/>
          <w:numId w:val="1"/>
        </w:numPr>
        <w:spacing w:after="80"/>
      </w:pPr>
      <w:r>
        <w:rPr>
          <w:color w:val="374151"/>
          <w:sz w:val="22"/>
          <w:szCs w:val="22"/>
          <w:rFonts w:ascii="Calibri" w:cs="Calibri" w:eastAsia="Calibri" w:hAnsi="Calibri"/>
        </w:rPr>
        <w:t xml:space="preserve">Desativação de funcionalidades de acesso remoto não necessárias</w:t>
      </w:r>
    </w:p>
    <w:p>
      <w:pPr>
        <w:pStyle w:val="ListParagraph"/>
        <w:numPr>
          <w:ilvl w:val="0"/>
          <w:numId w:val="1"/>
        </w:numPr>
        <w:spacing w:after="80"/>
      </w:pPr>
      <w:r>
        <w:rPr>
          <w:color w:val="374151"/>
          <w:sz w:val="22"/>
          <w:szCs w:val="22"/>
          <w:rFonts w:ascii="Calibri" w:cs="Calibri" w:eastAsia="Calibri" w:hAnsi="Calibri"/>
        </w:rPr>
        <w:t xml:space="preserve">Encriptação de discos em endpoints e servidores com dados sensíveis</w:t>
      </w:r>
    </w:p>
    <w:p>
      <w:pPr>
        <w:pStyle w:val="Heading2"/>
        <w:spacing w:before="320" w:after="160"/>
      </w:pPr>
      <w:r>
        <w:rPr>
          <w:b/>
          <w:bCs/>
          <w:color w:val="1e3a8a"/>
          <w:sz w:val="28"/>
          <w:szCs w:val="28"/>
          <w:rFonts w:ascii="Calibri" w:cs="Calibri" w:eastAsia="Calibri" w:hAnsi="Calibri"/>
        </w:rPr>
        <w:t xml:space="preserve">4.3 Verificação de Conformidade</w:t>
      </w:r>
    </w:p>
    <w:p>
      <w:pPr>
        <w:spacing w:after="160"/>
      </w:pPr>
      <w:r>
        <w:rPr>
          <w:color w:val="374151"/>
          <w:sz w:val="22"/>
          <w:szCs w:val="22"/>
          <w:rFonts w:ascii="Calibri" w:cs="Calibri" w:eastAsia="Calibri" w:hAnsi="Calibri"/>
        </w:rPr>
        <w:t xml:space="preserve">A conformidade com as baselines deve ser verificada antes da colocação em produção e periodicamente (mínimo mensal) através de ferramentas automatizadas de verificação de configuração. Os desvios devem ser registados, avaliados e remediados ou documentados como exceções aprovadas.</w:t>
      </w:r>
    </w:p>
    <w:p>
      <w:pPr>
        <w:pStyle w:val="Heading1"/>
        <w:spacing w:before="400" w:after="200"/>
      </w:pPr>
      <w:r>
        <w:rPr>
          <w:b/>
          <w:bCs/>
          <w:color w:val="1e3a8a"/>
          <w:sz w:val="32"/>
          <w:szCs w:val="32"/>
          <w:rFonts w:ascii="Calibri" w:cs="Calibri" w:eastAsia="Calibri" w:hAnsi="Calibri"/>
        </w:rPr>
        <w:t xml:space="preserve">5. Gestão de Patches e Atualizações</w:t>
      </w:r>
    </w:p>
    <w:p>
      <w:pPr>
        <w:shd w:color="dbeafe" w:val="solid"/>
        <w:spacing w:before="160" w:after="160"/>
        <w:ind w:left="360" w:right="360"/>
      </w:pPr>
      <w:r>
        <w:rPr>
          <w:i/>
          <w:iCs/>
          <w:color w:val="1e3a8a"/>
          <w:sz w:val="22"/>
          <w:szCs w:val="22"/>
          <w:rFonts w:ascii="Calibri" w:cs="Calibri" w:eastAsia="Calibri" w:hAnsi="Calibri"/>
        </w:rPr>
        <w:t xml:space="preserve">Referência legal: CIR 2024/2690, Anexo 6.3 — Gestão de patches e atualizações de segurança</w:t>
      </w:r>
    </w:p>
    <w:p>
      <w:pPr>
        <w:spacing w:after="160"/>
      </w:pPr>
      <w:r>
        <w:rPr>
          <w:color w:val="374151"/>
          <w:sz w:val="22"/>
          <w:szCs w:val="22"/>
          <w:rFonts w:ascii="Calibri" w:cs="Calibri" w:eastAsia="Calibri" w:hAnsi="Calibri"/>
        </w:rPr>
        <w:t xml:space="preserve">A gestão de patches é um processo crítico para manter a segurança dos sistemas. A organização implementa um processo estruturado de identificação, avaliação, teste e aplicação de patches de segurança.</w:t>
      </w:r>
    </w:p>
    <w:p>
      <w:pPr>
        <w:pStyle w:val="Heading2"/>
        <w:spacing w:before="320" w:after="160"/>
      </w:pPr>
      <w:r>
        <w:rPr>
          <w:b/>
          <w:bCs/>
          <w:color w:val="1e3a8a"/>
          <w:sz w:val="28"/>
          <w:szCs w:val="28"/>
          <w:rFonts w:ascii="Calibri" w:cs="Calibri" w:eastAsia="Calibri" w:hAnsi="Calibri"/>
        </w:rPr>
        <w:t xml:space="preserve">5.1 Classificação e Prazos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Criticidade</w:t>
            </w:r>
          </w:p>
        </w:tc>
        <w:tc>
          <w:tcPr>
            <w:shd w:color="1e3a8a" w:val="solid"/>
            <w:vAlign w:val="center"/>
          </w:tcPr>
          <w:p>
            <w:pPr>
              <w:jc w:val="center"/>
            </w:pPr>
            <w:r>
              <w:rPr>
                <w:b/>
                <w:bCs/>
                <w:color w:val="ffffff"/>
                <w:sz w:val="22"/>
                <w:szCs w:val="22"/>
                <w:rFonts w:ascii="Calibri" w:cs="Calibri" w:eastAsia="Calibri" w:hAnsi="Calibri"/>
              </w:rPr>
              <w:t xml:space="preserve">Critério</w:t>
            </w:r>
          </w:p>
        </w:tc>
        <w:tc>
          <w:tcPr>
            <w:shd w:color="1e3a8a" w:val="solid"/>
            <w:vAlign w:val="center"/>
          </w:tcPr>
          <w:p>
            <w:pPr>
              <w:jc w:val="center"/>
            </w:pPr>
            <w:r>
              <w:rPr>
                <w:b/>
                <w:bCs/>
                <w:color w:val="ffffff"/>
                <w:sz w:val="22"/>
                <w:szCs w:val="22"/>
                <w:rFonts w:ascii="Calibri" w:cs="Calibri" w:eastAsia="Calibri" w:hAnsi="Calibri"/>
              </w:rPr>
              <w:t xml:space="preserve">Prazo de Aplicação</w:t>
            </w:r>
          </w:p>
        </w:tc>
        <w:tc>
          <w:tcPr>
            <w:shd w:color="1e3a8a" w:val="solid"/>
            <w:vAlign w:val="center"/>
          </w:tcPr>
          <w:p>
            <w:pPr>
              <w:jc w:val="center"/>
            </w:pPr>
            <w:r>
              <w:rPr>
                <w:b/>
                <w:bCs/>
                <w:color w:val="ffffff"/>
                <w:sz w:val="22"/>
                <w:szCs w:val="22"/>
                <w:rFonts w:ascii="Calibri" w:cs="Calibri" w:eastAsia="Calibri" w:hAnsi="Calibri"/>
              </w:rPr>
              <w:t xml:space="preserve">Janela de Manutenção</w:t>
            </w:r>
          </w:p>
        </w:tc>
        <w:tc>
          <w:tcPr>
            <w:shd w:color="1e3a8a" w:val="solid"/>
            <w:vAlign w:val="center"/>
          </w:tcPr>
          <w:p>
            <w:pPr>
              <w:jc w:val="center"/>
            </w:pPr>
            <w:r>
              <w:rPr>
                <w:b/>
                <w:bCs/>
                <w:color w:val="ffffff"/>
                <w:sz w:val="22"/>
                <w:szCs w:val="22"/>
                <w:rFonts w:ascii="Calibri" w:cs="Calibri" w:eastAsia="Calibri" w:hAnsi="Calibri"/>
              </w:rPr>
              <w:t xml:space="preserve">Aprovação</w:t>
            </w:r>
          </w:p>
        </w:tc>
      </w:tr>
      <w:tr>
        <w:tc>
          <w:tcPr>
            <w:vAlign w:val="center"/>
          </w:tcPr>
          <w:p>
            <w:r>
              <w:rPr>
                <w:b w:val="false"/>
                <w:bCs w:val="false"/>
                <w:color w:val="374151"/>
                <w:sz w:val="22"/>
                <w:szCs w:val="22"/>
                <w:rFonts w:ascii="Calibri" w:cs="Calibri" w:eastAsia="Calibri" w:hAnsi="Calibri"/>
              </w:rPr>
              <w:t xml:space="preserve">Crítico (CVSS ≥ 9.0)</w:t>
            </w:r>
          </w:p>
        </w:tc>
        <w:tc>
          <w:tcPr>
            <w:vAlign w:val="center"/>
          </w:tcPr>
          <w:p>
            <w:r>
              <w:rPr>
                <w:b w:val="false"/>
                <w:bCs w:val="false"/>
                <w:color w:val="374151"/>
                <w:sz w:val="22"/>
                <w:szCs w:val="22"/>
                <w:rFonts w:ascii="Calibri" w:cs="Calibri" w:eastAsia="Calibri" w:hAnsi="Calibri"/>
              </w:rPr>
              <w:t xml:space="preserve">Vulnerabilidade com exploração ativa ou impacto sistémico</w:t>
            </w:r>
          </w:p>
        </w:tc>
        <w:tc>
          <w:tcPr>
            <w:vAlign w:val="center"/>
          </w:tcPr>
          <w:p>
            <w:r>
              <w:rPr>
                <w:b w:val="false"/>
                <w:bCs w:val="false"/>
                <w:color w:val="374151"/>
                <w:sz w:val="22"/>
                <w:szCs w:val="22"/>
                <w:rFonts w:ascii="Calibri" w:cs="Calibri" w:eastAsia="Calibri" w:hAnsi="Calibri"/>
              </w:rPr>
              <w:t xml:space="preserve">48 horas (produção); 24h (patch emergência)</w:t>
            </w:r>
          </w:p>
        </w:tc>
        <w:tc>
          <w:tcPr>
            <w:vAlign w:val="center"/>
          </w:tcPr>
          <w:p>
            <w:r>
              <w:rPr>
                <w:b w:val="false"/>
                <w:bCs w:val="false"/>
                <w:color w:val="374151"/>
                <w:sz w:val="22"/>
                <w:szCs w:val="22"/>
                <w:rFonts w:ascii="Calibri" w:cs="Calibri" w:eastAsia="Calibri" w:hAnsi="Calibri"/>
              </w:rPr>
              <w:t xml:space="preserve">Janela de emergência ou fora de horas</w:t>
            </w:r>
          </w:p>
        </w:tc>
        <w:tc>
          <w:tcPr>
            <w:vAlign w:val="center"/>
          </w:tcPr>
          <w:p>
            <w:r>
              <w:rPr>
                <w:b w:val="false"/>
                <w:bCs w:val="false"/>
                <w:color w:val="374151"/>
                <w:sz w:val="22"/>
                <w:szCs w:val="22"/>
                <w:rFonts w:ascii="Calibri" w:cs="Calibri" w:eastAsia="Calibri" w:hAnsi="Calibri"/>
              </w:rPr>
              <w:t xml:space="preserve">CISO + Responsável TI</w:t>
            </w:r>
          </w:p>
        </w:tc>
      </w:tr>
      <w:tr>
        <w:tc>
          <w:tcPr>
            <w:shd w:color="f3f4f6" w:val="solid"/>
            <w:vAlign w:val="center"/>
          </w:tcPr>
          <w:p>
            <w:r>
              <w:rPr>
                <w:b w:val="false"/>
                <w:bCs w:val="false"/>
                <w:color w:val="374151"/>
                <w:sz w:val="22"/>
                <w:szCs w:val="22"/>
                <w:rFonts w:ascii="Calibri" w:cs="Calibri" w:eastAsia="Calibri" w:hAnsi="Calibri"/>
              </w:rPr>
              <w:t xml:space="preserve">Elevado (CVSS 7.0-8.9)</w:t>
            </w:r>
          </w:p>
        </w:tc>
        <w:tc>
          <w:tcPr>
            <w:shd w:color="f3f4f6" w:val="solid"/>
            <w:vAlign w:val="center"/>
          </w:tcPr>
          <w:p>
            <w:r>
              <w:rPr>
                <w:b w:val="false"/>
                <w:bCs w:val="false"/>
                <w:color w:val="374151"/>
                <w:sz w:val="22"/>
                <w:szCs w:val="22"/>
                <w:rFonts w:ascii="Calibri" w:cs="Calibri" w:eastAsia="Calibri" w:hAnsi="Calibri"/>
              </w:rPr>
              <w:t xml:space="preserve">Vulnerabilidade com alto impacto, sem exploração ativa confirmada</w:t>
            </w:r>
          </w:p>
        </w:tc>
        <w:tc>
          <w:tcPr>
            <w:shd w:color="f3f4f6" w:val="solid"/>
            <w:vAlign w:val="center"/>
          </w:tcPr>
          <w:p>
            <w:r>
              <w:rPr>
                <w:b w:val="false"/>
                <w:bCs w:val="false"/>
                <w:color w:val="374151"/>
                <w:sz w:val="22"/>
                <w:szCs w:val="22"/>
                <w:rFonts w:ascii="Calibri" w:cs="Calibri" w:eastAsia="Calibri" w:hAnsi="Calibri"/>
              </w:rPr>
              <w:t xml:space="preserve">7 dias para sistemas críticos; 14 dias outros</w:t>
            </w:r>
          </w:p>
        </w:tc>
        <w:tc>
          <w:tcPr>
            <w:shd w:color="f3f4f6" w:val="solid"/>
            <w:vAlign w:val="center"/>
          </w:tcPr>
          <w:p>
            <w:r>
              <w:rPr>
                <w:b w:val="false"/>
                <w:bCs w:val="false"/>
                <w:color w:val="374151"/>
                <w:sz w:val="22"/>
                <w:szCs w:val="22"/>
                <w:rFonts w:ascii="Calibri" w:cs="Calibri" w:eastAsia="Calibri" w:hAnsi="Calibri"/>
              </w:rPr>
              <w:t xml:space="preserve">Janela de manutenção semanal</w:t>
            </w:r>
          </w:p>
        </w:tc>
        <w:tc>
          <w:tcPr>
            <w:shd w:color="f3f4f6" w:val="solid"/>
            <w:vAlign w:val="center"/>
          </w:tcPr>
          <w:p>
            <w:r>
              <w:rPr>
                <w:b w:val="false"/>
                <w:bCs w:val="false"/>
                <w:color w:val="374151"/>
                <w:sz w:val="22"/>
                <w:szCs w:val="22"/>
                <w:rFonts w:ascii="Calibri" w:cs="Calibri" w:eastAsia="Calibri" w:hAnsi="Calibri"/>
              </w:rPr>
              <w:t xml:space="preserve">Responsável TI</w:t>
            </w:r>
          </w:p>
        </w:tc>
      </w:tr>
      <w:tr>
        <w:tc>
          <w:tcPr>
            <w:vAlign w:val="center"/>
          </w:tcPr>
          <w:p>
            <w:r>
              <w:rPr>
                <w:b w:val="false"/>
                <w:bCs w:val="false"/>
                <w:color w:val="374151"/>
                <w:sz w:val="22"/>
                <w:szCs w:val="22"/>
                <w:rFonts w:ascii="Calibri" w:cs="Calibri" w:eastAsia="Calibri" w:hAnsi="Calibri"/>
              </w:rPr>
              <w:t xml:space="preserve">Médio (CVSS 4.0-6.9)</w:t>
            </w:r>
          </w:p>
        </w:tc>
        <w:tc>
          <w:tcPr>
            <w:vAlign w:val="center"/>
          </w:tcPr>
          <w:p>
            <w:r>
              <w:rPr>
                <w:b w:val="false"/>
                <w:bCs w:val="false"/>
                <w:color w:val="374151"/>
                <w:sz w:val="22"/>
                <w:szCs w:val="22"/>
                <w:rFonts w:ascii="Calibri" w:cs="Calibri" w:eastAsia="Calibri" w:hAnsi="Calibri"/>
              </w:rPr>
              <w:t xml:space="preserve">Vulnerabilidade com impacto moderado</w:t>
            </w:r>
          </w:p>
        </w:tc>
        <w:tc>
          <w:tcPr>
            <w:vAlign w:val="center"/>
          </w:tcPr>
          <w:p>
            <w:r>
              <w:rPr>
                <w:b w:val="false"/>
                <w:bCs w:val="false"/>
                <w:color w:val="374151"/>
                <w:sz w:val="22"/>
                <w:szCs w:val="22"/>
                <w:rFonts w:ascii="Calibri" w:cs="Calibri" w:eastAsia="Calibri" w:hAnsi="Calibri"/>
              </w:rPr>
              <w:t xml:space="preserve">30 dias</w:t>
            </w:r>
          </w:p>
        </w:tc>
        <w:tc>
          <w:tcPr>
            <w:vAlign w:val="center"/>
          </w:tcPr>
          <w:p>
            <w:r>
              <w:rPr>
                <w:b w:val="false"/>
                <w:bCs w:val="false"/>
                <w:color w:val="374151"/>
                <w:sz w:val="22"/>
                <w:szCs w:val="22"/>
                <w:rFonts w:ascii="Calibri" w:cs="Calibri" w:eastAsia="Calibri" w:hAnsi="Calibri"/>
              </w:rPr>
              <w:t xml:space="preserve">Janela de manutenção mensal</w:t>
            </w:r>
          </w:p>
        </w:tc>
        <w:tc>
          <w:tcPr>
            <w:vAlign w:val="center"/>
          </w:tcPr>
          <w:p>
            <w:r>
              <w:rPr>
                <w:b w:val="false"/>
                <w:bCs w:val="false"/>
                <w:color w:val="374151"/>
                <w:sz w:val="22"/>
                <w:szCs w:val="22"/>
                <w:rFonts w:ascii="Calibri" w:cs="Calibri" w:eastAsia="Calibri" w:hAnsi="Calibri"/>
              </w:rPr>
              <w:t xml:space="preserve">Gestor de sistemas</w:t>
            </w:r>
          </w:p>
        </w:tc>
      </w:tr>
      <w:tr>
        <w:tc>
          <w:tcPr>
            <w:shd w:color="f3f4f6" w:val="solid"/>
            <w:vAlign w:val="center"/>
          </w:tcPr>
          <w:p>
            <w:r>
              <w:rPr>
                <w:b w:val="false"/>
                <w:bCs w:val="false"/>
                <w:color w:val="374151"/>
                <w:sz w:val="22"/>
                <w:szCs w:val="22"/>
                <w:rFonts w:ascii="Calibri" w:cs="Calibri" w:eastAsia="Calibri" w:hAnsi="Calibri"/>
              </w:rPr>
              <w:t xml:space="preserve">Baixo (CVSS &lt; 4.0)</w:t>
            </w:r>
          </w:p>
        </w:tc>
        <w:tc>
          <w:tcPr>
            <w:shd w:color="f3f4f6" w:val="solid"/>
            <w:vAlign w:val="center"/>
          </w:tcPr>
          <w:p>
            <w:r>
              <w:rPr>
                <w:b w:val="false"/>
                <w:bCs w:val="false"/>
                <w:color w:val="374151"/>
                <w:sz w:val="22"/>
                <w:szCs w:val="22"/>
                <w:rFonts w:ascii="Calibri" w:cs="Calibri" w:eastAsia="Calibri" w:hAnsi="Calibri"/>
              </w:rPr>
              <w:t xml:space="preserve">Vulnerabilidade com impacto limitado</w:t>
            </w:r>
          </w:p>
        </w:tc>
        <w:tc>
          <w:tcPr>
            <w:shd w:color="f3f4f6" w:val="solid"/>
            <w:vAlign w:val="center"/>
          </w:tcPr>
          <w:p>
            <w:r>
              <w:rPr>
                <w:b w:val="false"/>
                <w:bCs w:val="false"/>
                <w:color w:val="374151"/>
                <w:sz w:val="22"/>
                <w:szCs w:val="22"/>
                <w:rFonts w:ascii="Calibri" w:cs="Calibri" w:eastAsia="Calibri" w:hAnsi="Calibri"/>
              </w:rPr>
              <w:t xml:space="preserve">90 dias ou próximo ciclo de atualização</w:t>
            </w:r>
          </w:p>
        </w:tc>
        <w:tc>
          <w:tcPr>
            <w:shd w:color="f3f4f6" w:val="solid"/>
            <w:vAlign w:val="center"/>
          </w:tcPr>
          <w:p>
            <w:r>
              <w:rPr>
                <w:b w:val="false"/>
                <w:bCs w:val="false"/>
                <w:color w:val="374151"/>
                <w:sz w:val="22"/>
                <w:szCs w:val="22"/>
                <w:rFonts w:ascii="Calibri" w:cs="Calibri" w:eastAsia="Calibri" w:hAnsi="Calibri"/>
              </w:rPr>
              <w:t xml:space="preserve">Janela de manutenção regular</w:t>
            </w:r>
          </w:p>
        </w:tc>
        <w:tc>
          <w:tcPr>
            <w:shd w:color="f3f4f6" w:val="solid"/>
            <w:vAlign w:val="center"/>
          </w:tcPr>
          <w:p>
            <w:r>
              <w:rPr>
                <w:b w:val="false"/>
                <w:bCs w:val="false"/>
                <w:color w:val="374151"/>
                <w:sz w:val="22"/>
                <w:szCs w:val="22"/>
                <w:rFonts w:ascii="Calibri" w:cs="Calibri" w:eastAsia="Calibri" w:hAnsi="Calibri"/>
              </w:rPr>
              <w:t xml:space="preserve">Gestor de sistemas</w:t>
            </w:r>
          </w:p>
        </w:tc>
      </w:tr>
    </w:tbl>
    <w:p>
      <w:pPr>
        <w:spacing w:after="200"/>
      </w:pPr>
    </w:p>
    <w:p>
      <w:pPr>
        <w:pStyle w:val="Heading2"/>
        <w:spacing w:before="320" w:after="160"/>
      </w:pPr>
      <w:r>
        <w:rPr>
          <w:b/>
          <w:bCs/>
          <w:color w:val="1e3a8a"/>
          <w:sz w:val="28"/>
          <w:szCs w:val="28"/>
          <w:rFonts w:ascii="Calibri" w:cs="Calibri" w:eastAsia="Calibri" w:hAnsi="Calibri"/>
        </w:rPr>
        <w:t xml:space="preserve">5.2 Janelas de Manutenção</w:t>
      </w:r>
    </w:p>
    <w:p>
      <w:pPr>
        <w:pStyle w:val="ListParagraph"/>
        <w:numPr>
          <w:ilvl w:val="0"/>
          <w:numId w:val="1"/>
        </w:numPr>
        <w:spacing w:after="80"/>
      </w:pPr>
      <w:r>
        <w:rPr>
          <w:color w:val="374151"/>
          <w:sz w:val="22"/>
          <w:szCs w:val="22"/>
          <w:rFonts w:ascii="Calibri" w:cs="Calibri" w:eastAsia="Calibri" w:hAnsi="Calibri"/>
        </w:rPr>
        <w:t xml:space="preserve">Janela de manutenção regular: [dia da semana, hora-hora] — para patches de criticidade média e baixa</w:t>
      </w:r>
    </w:p>
    <w:p>
      <w:pPr>
        <w:pStyle w:val="ListParagraph"/>
        <w:numPr>
          <w:ilvl w:val="0"/>
          <w:numId w:val="1"/>
        </w:numPr>
        <w:spacing w:after="80"/>
      </w:pPr>
      <w:r>
        <w:rPr>
          <w:color w:val="374151"/>
          <w:sz w:val="22"/>
          <w:szCs w:val="22"/>
          <w:rFonts w:ascii="Calibri" w:cs="Calibri" w:eastAsia="Calibri" w:hAnsi="Calibri"/>
        </w:rPr>
        <w:t xml:space="preserve">Janela de manutenção de emergência: disponível a qualquer momento para patches críticos com exploração ativa</w:t>
      </w:r>
    </w:p>
    <w:p>
      <w:pPr>
        <w:pStyle w:val="ListParagraph"/>
        <w:numPr>
          <w:ilvl w:val="0"/>
          <w:numId w:val="1"/>
        </w:numPr>
        <w:spacing w:after="80"/>
      </w:pPr>
      <w:r>
        <w:rPr>
          <w:color w:val="374151"/>
          <w:sz w:val="22"/>
          <w:szCs w:val="22"/>
          <w:rFonts w:ascii="Calibri" w:cs="Calibri" w:eastAsia="Calibri" w:hAnsi="Calibri"/>
        </w:rPr>
        <w:t xml:space="preserve">Todos os patches devem ser testados em ambiente de homologação antes da aplicação em produção (exceto patches de emergência imediata)</w:t>
      </w:r>
    </w:p>
    <w:p>
      <w:pPr>
        <w:pStyle w:val="ListParagraph"/>
        <w:numPr>
          <w:ilvl w:val="0"/>
          <w:numId w:val="1"/>
        </w:numPr>
        <w:spacing w:after="80"/>
      </w:pPr>
      <w:r>
        <w:rPr>
          <w:color w:val="374151"/>
          <w:sz w:val="22"/>
          <w:szCs w:val="22"/>
          <w:rFonts w:ascii="Calibri" w:cs="Calibri" w:eastAsia="Calibri" w:hAnsi="Calibri"/>
        </w:rPr>
        <w:t xml:space="preserve">A janela de manutenção deve ser comunicada com antecedência mínima de 48h para sistemas em produção</w:t>
      </w:r>
    </w:p>
    <w:p>
      <w:pPr>
        <w:pStyle w:val="Heading2"/>
        <w:spacing w:before="320" w:after="160"/>
      </w:pPr>
      <w:r>
        <w:rPr>
          <w:b/>
          <w:bCs/>
          <w:color w:val="1e3a8a"/>
          <w:sz w:val="28"/>
          <w:szCs w:val="28"/>
          <w:rFonts w:ascii="Calibri" w:cs="Calibri" w:eastAsia="Calibri" w:hAnsi="Calibri"/>
        </w:rPr>
        <w:t xml:space="preserve">5.3 Patches de Emergência</w:t>
      </w:r>
    </w:p>
    <w:p>
      <w:pPr>
        <w:pStyle w:val="ListParagraph"/>
        <w:numPr>
          <w:ilvl w:val="0"/>
          <w:numId w:val="1"/>
        </w:numPr>
        <w:spacing w:after="80"/>
      </w:pPr>
      <w:r>
        <w:rPr>
          <w:color w:val="374151"/>
          <w:sz w:val="22"/>
          <w:szCs w:val="22"/>
          <w:rFonts w:ascii="Calibri" w:cs="Calibri" w:eastAsia="Calibri" w:hAnsi="Calibri"/>
        </w:rPr>
        <w:t xml:space="preserve">Patches para vulnerabilidades com exploração ativa (0-day ou actively exploited) devem ser aplicados fora da janela de manutenção regular</w:t>
      </w:r>
    </w:p>
    <w:p>
      <w:pPr>
        <w:pStyle w:val="ListParagraph"/>
        <w:numPr>
          <w:ilvl w:val="0"/>
          <w:numId w:val="1"/>
        </w:numPr>
        <w:spacing w:after="80"/>
      </w:pPr>
      <w:r>
        <w:rPr>
          <w:color w:val="374151"/>
          <w:sz w:val="22"/>
          <w:szCs w:val="22"/>
          <w:rFonts w:ascii="Calibri" w:cs="Calibri" w:eastAsia="Calibri" w:hAnsi="Calibri"/>
        </w:rPr>
        <w:t xml:space="preserve">O processo de patch de emergência inclui: aprovação CISO + Responsável TI → teste acelerado (mínimo 2h) → aplicação → verificação</w:t>
      </w:r>
    </w:p>
    <w:p>
      <w:pPr>
        <w:pStyle w:val="ListParagraph"/>
        <w:numPr>
          <w:ilvl w:val="0"/>
          <w:numId w:val="1"/>
        </w:numPr>
        <w:spacing w:after="80"/>
      </w:pPr>
      <w:r>
        <w:rPr>
          <w:color w:val="374151"/>
          <w:sz w:val="22"/>
          <w:szCs w:val="22"/>
          <w:rFonts w:ascii="Calibri" w:cs="Calibri" w:eastAsia="Calibri" w:hAnsi="Calibri"/>
        </w:rPr>
        <w:t xml:space="preserve">Se o patch não estiver disponível, devem ser implementados controlos compensatórios documentados (ex.: regras de firewall, desativação de funcionalidade)</w:t>
      </w:r>
    </w:p>
    <w:p>
      <w:pPr>
        <w:pStyle w:val="ListParagraph"/>
        <w:numPr>
          <w:ilvl w:val="0"/>
          <w:numId w:val="1"/>
        </w:numPr>
        <w:spacing w:after="80"/>
      </w:pPr>
      <w:r>
        <w:rPr>
          <w:color w:val="374151"/>
          <w:sz w:val="22"/>
          <w:szCs w:val="22"/>
          <w:rFonts w:ascii="Calibri" w:cs="Calibri" w:eastAsia="Calibri" w:hAnsi="Calibri"/>
        </w:rPr>
        <w:t xml:space="preserve">Todo o processo de patch de emergência deve ser documentado no registo de alterações</w:t>
      </w:r>
    </w:p>
    <w:p>
      <w:pPr>
        <w:pStyle w:val="Heading1"/>
        <w:spacing w:before="400" w:after="200"/>
      </w:pPr>
      <w:r>
        <w:rPr>
          <w:b/>
          <w:bCs/>
          <w:color w:val="1e3a8a"/>
          <w:sz w:val="32"/>
          <w:szCs w:val="32"/>
          <w:rFonts w:ascii="Calibri" w:cs="Calibri" w:eastAsia="Calibri" w:hAnsi="Calibri"/>
        </w:rPr>
        <w:t xml:space="preserve">6. Gestão de Vulnerabilidades</w:t>
      </w:r>
    </w:p>
    <w:p>
      <w:pPr>
        <w:shd w:color="dbeafe" w:val="solid"/>
        <w:spacing w:before="160" w:after="160"/>
        <w:ind w:left="360" w:right="360"/>
      </w:pPr>
      <w:r>
        <w:rPr>
          <w:i/>
          <w:iCs/>
          <w:color w:val="1e3a8a"/>
          <w:sz w:val="22"/>
          <w:szCs w:val="22"/>
          <w:rFonts w:ascii="Calibri" w:cs="Calibri" w:eastAsia="Calibri" w:hAnsi="Calibri"/>
        </w:rPr>
        <w:t xml:space="preserve">Referência legal: CIR 2024/2690, Anexo 6.3 — Gestão de vulnerabilidades técnicas</w:t>
      </w:r>
    </w:p>
    <w:p>
      <w:pPr>
        <w:spacing w:after="160"/>
      </w:pPr>
      <w:r>
        <w:rPr>
          <w:color w:val="374151"/>
          <w:sz w:val="22"/>
          <w:szCs w:val="22"/>
          <w:rFonts w:ascii="Calibri" w:cs="Calibri" w:eastAsia="Calibri" w:hAnsi="Calibri"/>
        </w:rPr>
        <w:t xml:space="preserve">A organização implementa um programa contínuo de gestão de vulnerabilidades para identificar, avaliar, priorizar e remediar vulnerabilidades técnicas nos seus sistemas TIC.</w:t>
      </w:r>
    </w:p>
    <w:p>
      <w:pPr>
        <w:pStyle w:val="Heading2"/>
        <w:spacing w:before="320" w:after="160"/>
      </w:pPr>
      <w:r>
        <w:rPr>
          <w:b/>
          <w:bCs/>
          <w:color w:val="1e3a8a"/>
          <w:sz w:val="28"/>
          <w:szCs w:val="28"/>
          <w:rFonts w:ascii="Calibri" w:cs="Calibri" w:eastAsia="Calibri" w:hAnsi="Calibri"/>
        </w:rPr>
        <w:t xml:space="preserve">6.1 Identificação de Vulnerabilidades</w:t>
      </w:r>
    </w:p>
    <w:p>
      <w:pPr>
        <w:pStyle w:val="ListParagraph"/>
        <w:numPr>
          <w:ilvl w:val="0"/>
          <w:numId w:val="1"/>
        </w:numPr>
        <w:spacing w:after="80"/>
      </w:pPr>
      <w:r>
        <w:rPr>
          <w:color w:val="374151"/>
          <w:sz w:val="22"/>
          <w:szCs w:val="22"/>
          <w:rFonts w:ascii="Calibri" w:cs="Calibri" w:eastAsia="Calibri" w:hAnsi="Calibri"/>
        </w:rPr>
        <w:t xml:space="preserve">Scanning de vulnerabilidades automatizado: mínimo semanal para sistemas críticos, mensal para outros sistemas</w:t>
      </w:r>
    </w:p>
    <w:p>
      <w:pPr>
        <w:pStyle w:val="ListParagraph"/>
        <w:numPr>
          <w:ilvl w:val="0"/>
          <w:numId w:val="1"/>
        </w:numPr>
        <w:spacing w:after="80"/>
      </w:pPr>
      <w:r>
        <w:rPr>
          <w:color w:val="374151"/>
          <w:sz w:val="22"/>
          <w:szCs w:val="22"/>
          <w:rFonts w:ascii="Calibri" w:cs="Calibri" w:eastAsia="Calibri" w:hAnsi="Calibri"/>
        </w:rPr>
        <w:t xml:space="preserve">Subscrição de feeds de inteligência de ameaças (ex.: CNCS alertas, NVD, CERT-EU)</w:t>
      </w:r>
    </w:p>
    <w:p>
      <w:pPr>
        <w:pStyle w:val="ListParagraph"/>
        <w:numPr>
          <w:ilvl w:val="0"/>
          <w:numId w:val="1"/>
        </w:numPr>
        <w:spacing w:after="80"/>
      </w:pPr>
      <w:r>
        <w:rPr>
          <w:color w:val="374151"/>
          <w:sz w:val="22"/>
          <w:szCs w:val="22"/>
          <w:rFonts w:ascii="Calibri" w:cs="Calibri" w:eastAsia="Calibri" w:hAnsi="Calibri"/>
        </w:rPr>
        <w:t xml:space="preserve">Testes de penetração anuais realizados por entidade independente</w:t>
      </w:r>
    </w:p>
    <w:p>
      <w:pPr>
        <w:pStyle w:val="ListParagraph"/>
        <w:numPr>
          <w:ilvl w:val="0"/>
          <w:numId w:val="1"/>
        </w:numPr>
        <w:spacing w:after="80"/>
      </w:pPr>
      <w:r>
        <w:rPr>
          <w:color w:val="374151"/>
          <w:sz w:val="22"/>
          <w:szCs w:val="22"/>
          <w:rFonts w:ascii="Calibri" w:cs="Calibri" w:eastAsia="Calibri" w:hAnsi="Calibri"/>
        </w:rPr>
        <w:t xml:space="preserve">Bug bounty ou programa de divulgação responsável (VDP) para aplicações expostas à internet</w:t>
      </w:r>
    </w:p>
    <w:p>
      <w:pPr>
        <w:pStyle w:val="ListParagraph"/>
        <w:numPr>
          <w:ilvl w:val="0"/>
          <w:numId w:val="1"/>
        </w:numPr>
        <w:spacing w:after="80"/>
      </w:pPr>
      <w:r>
        <w:rPr>
          <w:color w:val="374151"/>
          <w:sz w:val="22"/>
          <w:szCs w:val="22"/>
          <w:rFonts w:ascii="Calibri" w:cs="Calibri" w:eastAsia="Calibri" w:hAnsi="Calibri"/>
        </w:rPr>
        <w:t xml:space="preserve">Revisão contínua de CVEs publicados para tecnologias utilizadas pela organização</w:t>
      </w:r>
    </w:p>
    <w:p>
      <w:pPr>
        <w:pStyle w:val="Heading2"/>
        <w:spacing w:before="320" w:after="160"/>
      </w:pPr>
      <w:r>
        <w:rPr>
          <w:b/>
          <w:bCs/>
          <w:color w:val="1e3a8a"/>
          <w:sz w:val="28"/>
          <w:szCs w:val="28"/>
          <w:rFonts w:ascii="Calibri" w:cs="Calibri" w:eastAsia="Calibri" w:hAnsi="Calibri"/>
        </w:rPr>
        <w:t xml:space="preserve">6.2 Priorização e Remediação</w:t>
      </w:r>
    </w:p>
    <w:p>
      <w:pPr>
        <w:pStyle w:val="ListParagraph"/>
        <w:numPr>
          <w:ilvl w:val="0"/>
          <w:numId w:val="1"/>
        </w:numPr>
        <w:spacing w:after="80"/>
      </w:pPr>
      <w:r>
        <w:rPr>
          <w:color w:val="374151"/>
          <w:sz w:val="22"/>
          <w:szCs w:val="22"/>
          <w:rFonts w:ascii="Calibri" w:cs="Calibri" w:eastAsia="Calibri" w:hAnsi="Calibri"/>
        </w:rPr>
        <w:t xml:space="preserve">As vulnerabilidades são priorizadas com base no CVSS score, mas ajustadas em função do contexto: exploração ativa, dados sensíveis envolvidos, exposição à internet</w:t>
      </w:r>
    </w:p>
    <w:p>
      <w:pPr>
        <w:pStyle w:val="ListParagraph"/>
        <w:numPr>
          <w:ilvl w:val="0"/>
          <w:numId w:val="1"/>
        </w:numPr>
        <w:spacing w:after="80"/>
      </w:pPr>
      <w:r>
        <w:rPr>
          <w:color w:val="374151"/>
          <w:sz w:val="22"/>
          <w:szCs w:val="22"/>
          <w:rFonts w:ascii="Calibri" w:cs="Calibri" w:eastAsia="Calibri" w:hAnsi="Calibri"/>
        </w:rPr>
        <w:t xml:space="preserve">Para cada vulnerabilidade, deve ser definido: prazo de remediação, responsável, e medida de remediação ou compensação</w:t>
      </w:r>
    </w:p>
    <w:p>
      <w:pPr>
        <w:pStyle w:val="ListParagraph"/>
        <w:numPr>
          <w:ilvl w:val="0"/>
          <w:numId w:val="1"/>
        </w:numPr>
        <w:spacing w:after="80"/>
      </w:pPr>
      <w:r>
        <w:rPr>
          <w:color w:val="374151"/>
          <w:sz w:val="22"/>
          <w:szCs w:val="22"/>
          <w:rFonts w:ascii="Calibri" w:cs="Calibri" w:eastAsia="Calibri" w:hAnsi="Calibri"/>
        </w:rPr>
        <w:t xml:space="preserve">A remediação preferencial é a aplicação do patch; quando não disponível, devem ser implementados controlos compensatórios</w:t>
      </w:r>
    </w:p>
    <w:p>
      <w:pPr>
        <w:pStyle w:val="ListParagraph"/>
        <w:numPr>
          <w:ilvl w:val="0"/>
          <w:numId w:val="1"/>
        </w:numPr>
        <w:spacing w:after="80"/>
      </w:pPr>
      <w:r>
        <w:rPr>
          <w:color w:val="374151"/>
          <w:sz w:val="22"/>
          <w:szCs w:val="22"/>
          <w:rFonts w:ascii="Calibri" w:cs="Calibri" w:eastAsia="Calibri" w:hAnsi="Calibri"/>
        </w:rPr>
        <w:t xml:space="preserve">O progresso de remediação deve ser monitorizado e reportado mensalmente ao CISO</w:t>
      </w:r>
    </w:p>
    <w:p>
      <w:pPr>
        <w:pStyle w:val="Heading2"/>
        <w:spacing w:before="320" w:after="160"/>
      </w:pPr>
      <w:r>
        <w:rPr>
          <w:b/>
          <w:bCs/>
          <w:color w:val="1e3a8a"/>
          <w:sz w:val="28"/>
          <w:szCs w:val="28"/>
          <w:rFonts w:ascii="Calibri" w:cs="Calibri" w:eastAsia="Calibri" w:hAnsi="Calibri"/>
        </w:rPr>
        <w:t xml:space="preserve">6.3 Exceções Documentadas</w:t>
      </w:r>
    </w:p>
    <w:p>
      <w:pPr>
        <w:spacing w:after="160"/>
      </w:pPr>
      <w:r>
        <w:rPr>
          <w:color w:val="374151"/>
          <w:sz w:val="22"/>
          <w:szCs w:val="22"/>
          <w:rFonts w:ascii="Calibri" w:cs="Calibri" w:eastAsia="Calibri" w:hAnsi="Calibri"/>
        </w:rPr>
        <w:t xml:space="preserve">Quando a remediação de uma vulnerabilidade não é viável no prazo definido (ex.: incompatibilidade de patch, sistema legado, risco de paragem), pode ser concedida uma exceção documentada. A exceção deve incluir: justificação técnica, controlos compensatórios implementados, prazo máximo de exceção, e aprovação do CISO. As exceções devem ser revistas trimestralmente.</w:t>
      </w:r>
    </w:p>
    <w:p>
      <w:pPr>
        <w:pStyle w:val="Heading1"/>
        <w:spacing w:before="400" w:after="200"/>
      </w:pPr>
      <w:r>
        <w:rPr>
          <w:b/>
          <w:bCs/>
          <w:color w:val="1e3a8a"/>
          <w:sz w:val="32"/>
          <w:szCs w:val="32"/>
          <w:rFonts w:ascii="Calibri" w:cs="Calibri" w:eastAsia="Calibri" w:hAnsi="Calibri"/>
        </w:rPr>
        <w:t xml:space="preserve">7. Desenvolvimento Seguro de Software</w:t>
      </w:r>
    </w:p>
    <w:p>
      <w:pPr>
        <w:shd w:color="dbeafe" w:val="solid"/>
        <w:spacing w:before="160" w:after="160"/>
        <w:ind w:left="360" w:right="360"/>
      </w:pPr>
      <w:r>
        <w:rPr>
          <w:i/>
          <w:iCs/>
          <w:color w:val="1e3a8a"/>
          <w:sz w:val="22"/>
          <w:szCs w:val="22"/>
          <w:rFonts w:ascii="Calibri" w:cs="Calibri" w:eastAsia="Calibri" w:hAnsi="Calibri"/>
        </w:rPr>
        <w:t xml:space="preserve">Referência legal: CIR 2024/2690, Anexo 6.4 — Desenvolvimento seguro de software</w:t>
      </w:r>
    </w:p>
    <w:p>
      <w:pPr>
        <w:spacing w:after="160"/>
      </w:pPr>
      <w:r>
        <w:rPr>
          <w:color w:val="374151"/>
          <w:sz w:val="22"/>
          <w:szCs w:val="22"/>
          <w:rFonts w:ascii="Calibri" w:cs="Calibri" w:eastAsia="Calibri" w:hAnsi="Calibri"/>
        </w:rPr>
        <w:t xml:space="preserve">O desenvolvimento de software deve seguir um ciclo de desenvolvimento seguro (SDLC) que integra práticas de segurança em todas as fases, desde os requisitos até à operação.</w:t>
      </w:r>
    </w:p>
    <w:p>
      <w:pPr>
        <w:pStyle w:val="Heading2"/>
        <w:spacing w:before="320" w:after="160"/>
      </w:pPr>
      <w:r>
        <w:rPr>
          <w:b/>
          <w:bCs/>
          <w:color w:val="1e3a8a"/>
          <w:sz w:val="28"/>
          <w:szCs w:val="28"/>
          <w:rFonts w:ascii="Calibri" w:cs="Calibri" w:eastAsia="Calibri" w:hAnsi="Calibri"/>
        </w:rPr>
        <w:t xml:space="preserve">7.1 Ciclo de Vida de Desenvolvimento Seguro (SDLC)</w:t>
      </w:r>
    </w:p>
    <w:p>
      <w:pPr>
        <w:pStyle w:val="ListParagraph"/>
        <w:numPr>
          <w:ilvl w:val="0"/>
          <w:numId w:val="1"/>
        </w:numPr>
        <w:spacing w:after="80"/>
      </w:pPr>
      <w:r>
        <w:rPr>
          <w:color w:val="374151"/>
          <w:sz w:val="22"/>
          <w:szCs w:val="22"/>
          <w:rFonts w:ascii="Calibri" w:cs="Calibri" w:eastAsia="Calibri" w:hAnsi="Calibri"/>
        </w:rPr>
        <w:t xml:space="preserve">Fase de requisitos: identificar requisitos de segurança e privacidade; realizar modelação de ameaças (threat modeling)</w:t>
      </w:r>
    </w:p>
    <w:p>
      <w:pPr>
        <w:pStyle w:val="ListParagraph"/>
        <w:numPr>
          <w:ilvl w:val="0"/>
          <w:numId w:val="1"/>
        </w:numPr>
        <w:spacing w:after="80"/>
      </w:pPr>
      <w:r>
        <w:rPr>
          <w:color w:val="374151"/>
          <w:sz w:val="22"/>
          <w:szCs w:val="22"/>
          <w:rFonts w:ascii="Calibri" w:cs="Calibri" w:eastAsia="Calibri" w:hAnsi="Calibri"/>
        </w:rPr>
        <w:t xml:space="preserve">Fase de design: princípios de security by design; revisão de arquitetura de segurança</w:t>
      </w:r>
    </w:p>
    <w:p>
      <w:pPr>
        <w:pStyle w:val="ListParagraph"/>
        <w:numPr>
          <w:ilvl w:val="0"/>
          <w:numId w:val="1"/>
        </w:numPr>
        <w:spacing w:after="80"/>
      </w:pPr>
      <w:r>
        <w:rPr>
          <w:color w:val="374151"/>
          <w:sz w:val="22"/>
          <w:szCs w:val="22"/>
          <w:rFonts w:ascii="Calibri" w:cs="Calibri" w:eastAsia="Calibri" w:hAnsi="Calibri"/>
        </w:rPr>
        <w:t xml:space="preserve">Fase de desenvolvimento: coding standards de segurança; uso de bibliotecas aprovadas; evitar vulnerabilidades OWASP Top 10</w:t>
      </w:r>
    </w:p>
    <w:p>
      <w:pPr>
        <w:pStyle w:val="ListParagraph"/>
        <w:numPr>
          <w:ilvl w:val="0"/>
          <w:numId w:val="1"/>
        </w:numPr>
        <w:spacing w:after="80"/>
      </w:pPr>
      <w:r>
        <w:rPr>
          <w:color w:val="374151"/>
          <w:sz w:val="22"/>
          <w:szCs w:val="22"/>
          <w:rFonts w:ascii="Calibri" w:cs="Calibri" w:eastAsia="Calibri" w:hAnsi="Calibri"/>
        </w:rPr>
        <w:t xml:space="preserve">Fase de testes: testes de segurança integrados (SAST, DAST, SCA); revisão de código com foco em segurança</w:t>
      </w:r>
    </w:p>
    <w:p>
      <w:pPr>
        <w:pStyle w:val="ListParagraph"/>
        <w:numPr>
          <w:ilvl w:val="0"/>
          <w:numId w:val="1"/>
        </w:numPr>
        <w:spacing w:after="80"/>
      </w:pPr>
      <w:r>
        <w:rPr>
          <w:color w:val="374151"/>
          <w:sz w:val="22"/>
          <w:szCs w:val="22"/>
          <w:rFonts w:ascii="Calibri" w:cs="Calibri" w:eastAsia="Calibri" w:hAnsi="Calibri"/>
        </w:rPr>
        <w:t xml:space="preserve">Fase de deployment: checklist de segurança pré-produção; configuração segura; verificação de permissões</w:t>
      </w:r>
    </w:p>
    <w:p>
      <w:pPr>
        <w:pStyle w:val="ListParagraph"/>
        <w:numPr>
          <w:ilvl w:val="0"/>
          <w:numId w:val="1"/>
        </w:numPr>
        <w:spacing w:after="80"/>
      </w:pPr>
      <w:r>
        <w:rPr>
          <w:color w:val="374151"/>
          <w:sz w:val="22"/>
          <w:szCs w:val="22"/>
          <w:rFonts w:ascii="Calibri" w:cs="Calibri" w:eastAsia="Calibri" w:hAnsi="Calibri"/>
        </w:rPr>
        <w:t xml:space="preserve">Fase de operação: monitorização contínua; gestão de incidentes; gestão de patches</w:t>
      </w:r>
    </w:p>
    <w:p>
      <w:pPr>
        <w:pStyle w:val="Heading2"/>
        <w:spacing w:before="320" w:after="160"/>
      </w:pPr>
      <w:r>
        <w:rPr>
          <w:b/>
          <w:bCs/>
          <w:color w:val="1e3a8a"/>
          <w:sz w:val="28"/>
          <w:szCs w:val="28"/>
          <w:rFonts w:ascii="Calibri" w:cs="Calibri" w:eastAsia="Calibri" w:hAnsi="Calibri"/>
        </w:rPr>
        <w:t xml:space="preserve">7.2 Testes de Segurança de Código</w:t>
      </w:r>
    </w:p>
    <w:p>
      <w:pPr>
        <w:pStyle w:val="ListParagraph"/>
        <w:numPr>
          <w:ilvl w:val="0"/>
          <w:numId w:val="1"/>
        </w:numPr>
        <w:spacing w:after="80"/>
      </w:pPr>
      <w:r>
        <w:rPr>
          <w:color w:val="374151"/>
          <w:sz w:val="22"/>
          <w:szCs w:val="22"/>
          <w:rFonts w:ascii="Calibri" w:cs="Calibri" w:eastAsia="Calibri" w:hAnsi="Calibri"/>
        </w:rPr>
        <w:t xml:space="preserve">SAST (Static Application Security Testing): análise estática de código obrigatória em todas as aplicações antes de cada release</w:t>
      </w:r>
    </w:p>
    <w:p>
      <w:pPr>
        <w:pStyle w:val="ListParagraph"/>
        <w:numPr>
          <w:ilvl w:val="0"/>
          <w:numId w:val="1"/>
        </w:numPr>
        <w:spacing w:after="80"/>
      </w:pPr>
      <w:r>
        <w:rPr>
          <w:color w:val="374151"/>
          <w:sz w:val="22"/>
          <w:szCs w:val="22"/>
          <w:rFonts w:ascii="Calibri" w:cs="Calibri" w:eastAsia="Calibri" w:hAnsi="Calibri"/>
        </w:rPr>
        <w:t xml:space="preserve">DAST (Dynamic Application Security Testing): testes dinâmicos obrigatórios para aplicações web antes do deployment em produção</w:t>
      </w:r>
    </w:p>
    <w:p>
      <w:pPr>
        <w:pStyle w:val="ListParagraph"/>
        <w:numPr>
          <w:ilvl w:val="0"/>
          <w:numId w:val="1"/>
        </w:numPr>
        <w:spacing w:after="80"/>
      </w:pPr>
      <w:r>
        <w:rPr>
          <w:color w:val="374151"/>
          <w:sz w:val="22"/>
          <w:szCs w:val="22"/>
          <w:rFonts w:ascii="Calibri" w:cs="Calibri" w:eastAsia="Calibri" w:hAnsi="Calibri"/>
        </w:rPr>
        <w:t xml:space="preserve">SCA (Software Composition Analysis): análise de componentes de terceiros e dependências open source para vulnerabilidades conhecidas</w:t>
      </w:r>
    </w:p>
    <w:p>
      <w:pPr>
        <w:pStyle w:val="ListParagraph"/>
        <w:numPr>
          <w:ilvl w:val="0"/>
          <w:numId w:val="1"/>
        </w:numPr>
        <w:spacing w:after="80"/>
      </w:pPr>
      <w:r>
        <w:rPr>
          <w:color w:val="374151"/>
          <w:sz w:val="22"/>
          <w:szCs w:val="22"/>
          <w:rFonts w:ascii="Calibri" w:cs="Calibri" w:eastAsia="Calibri" w:hAnsi="Calibri"/>
        </w:rPr>
        <w:t xml:space="preserve">Revisão manual de código: obrigatória para funcionalidades críticas de segurança (autenticação, autorização, criptografia)</w:t>
      </w:r>
    </w:p>
    <w:p>
      <w:pPr>
        <w:pStyle w:val="Heading2"/>
        <w:spacing w:before="320" w:after="160"/>
      </w:pPr>
      <w:r>
        <w:rPr>
          <w:b/>
          <w:bCs/>
          <w:color w:val="1e3a8a"/>
          <w:sz w:val="28"/>
          <w:szCs w:val="28"/>
          <w:rFonts w:ascii="Calibri" w:cs="Calibri" w:eastAsia="Calibri" w:hAnsi="Calibri"/>
        </w:rPr>
        <w:t xml:space="preserve">7.3 DevSecOps</w:t>
      </w:r>
    </w:p>
    <w:p>
      <w:pPr>
        <w:pStyle w:val="ListParagraph"/>
        <w:numPr>
          <w:ilvl w:val="0"/>
          <w:numId w:val="1"/>
        </w:numPr>
        <w:spacing w:after="80"/>
      </w:pPr>
      <w:r>
        <w:rPr>
          <w:color w:val="374151"/>
          <w:sz w:val="22"/>
          <w:szCs w:val="22"/>
          <w:rFonts w:ascii="Calibri" w:cs="Calibri" w:eastAsia="Calibri" w:hAnsi="Calibri"/>
        </w:rPr>
        <w:t xml:space="preserve">Os controlos de segurança devem ser integrados no pipeline de CI/CD (integração contínua/entrega contínua)</w:t>
      </w:r>
    </w:p>
    <w:p>
      <w:pPr>
        <w:pStyle w:val="ListParagraph"/>
        <w:numPr>
          <w:ilvl w:val="0"/>
          <w:numId w:val="1"/>
        </w:numPr>
        <w:spacing w:after="80"/>
      </w:pPr>
      <w:r>
        <w:rPr>
          <w:color w:val="374151"/>
          <w:sz w:val="22"/>
          <w:szCs w:val="22"/>
          <w:rFonts w:ascii="Calibri" w:cs="Calibri" w:eastAsia="Calibri" w:hAnsi="Calibri"/>
        </w:rPr>
        <w:t xml:space="preserve">Builds com vulnerabilidades de alta ou crítica criticidade devem ser bloqueados automaticamente</w:t>
      </w:r>
    </w:p>
    <w:p>
      <w:pPr>
        <w:pStyle w:val="ListParagraph"/>
        <w:numPr>
          <w:ilvl w:val="0"/>
          <w:numId w:val="1"/>
        </w:numPr>
        <w:spacing w:after="80"/>
      </w:pPr>
      <w:r>
        <w:rPr>
          <w:color w:val="374151"/>
          <w:sz w:val="22"/>
          <w:szCs w:val="22"/>
          <w:rFonts w:ascii="Calibri" w:cs="Calibri" w:eastAsia="Calibri" w:hAnsi="Calibri"/>
        </w:rPr>
        <w:t xml:space="preserve">Segredos (passwords, chaves API, certificados) nunca podem ser incluídos no código ou repositórios</w:t>
      </w:r>
    </w:p>
    <w:p>
      <w:pPr>
        <w:pStyle w:val="ListParagraph"/>
        <w:numPr>
          <w:ilvl w:val="0"/>
          <w:numId w:val="1"/>
        </w:numPr>
        <w:spacing w:after="80"/>
      </w:pPr>
      <w:r>
        <w:rPr>
          <w:color w:val="374151"/>
          <w:sz w:val="22"/>
          <w:szCs w:val="22"/>
          <w:rFonts w:ascii="Calibri" w:cs="Calibri" w:eastAsia="Calibri" w:hAnsi="Calibri"/>
        </w:rPr>
        <w:t xml:space="preserve">Utilização de secrets management (ex.: HashiCorp Vault, Azure Key Vault) para gestão de credenciais</w:t>
      </w:r>
    </w:p>
    <w:p>
      <w:pPr>
        <w:pStyle w:val="Heading1"/>
        <w:spacing w:before="400" w:after="200"/>
      </w:pPr>
      <w:r>
        <w:rPr>
          <w:b/>
          <w:bCs/>
          <w:color w:val="1e3a8a"/>
          <w:sz w:val="32"/>
          <w:szCs w:val="32"/>
          <w:rFonts w:ascii="Calibri" w:cs="Calibri" w:eastAsia="Calibri" w:hAnsi="Calibri"/>
        </w:rPr>
        <w:t xml:space="preserve">8. Testes e Aceitação de Sistemas</w:t>
      </w:r>
    </w:p>
    <w:p>
      <w:pPr>
        <w:shd w:color="dbeafe" w:val="solid"/>
        <w:spacing w:before="160" w:after="160"/>
        <w:ind w:left="360" w:right="360"/>
      </w:pPr>
      <w:r>
        <w:rPr>
          <w:i/>
          <w:iCs/>
          <w:color w:val="1e3a8a"/>
          <w:sz w:val="22"/>
          <w:szCs w:val="22"/>
          <w:rFonts w:ascii="Calibri" w:cs="Calibri" w:eastAsia="Calibri" w:hAnsi="Calibri"/>
        </w:rPr>
        <w:t xml:space="preserve">Referência legal: CIR 2024/2690, Anexo 6.4 — Testes de segurança antes da colocação em produção</w:t>
      </w:r>
    </w:p>
    <w:p>
      <w:pPr>
        <w:spacing w:after="160"/>
      </w:pPr>
      <w:r>
        <w:rPr>
          <w:color w:val="374151"/>
          <w:sz w:val="22"/>
          <w:szCs w:val="22"/>
          <w:rFonts w:ascii="Calibri" w:cs="Calibri" w:eastAsia="Calibri" w:hAnsi="Calibri"/>
        </w:rPr>
        <w:t xml:space="preserve">Antes da colocação em produção, todos os sistemas e aplicações devem passar por um processo formal de testes e aceitação que inclui componentes de segurança.</w:t>
      </w:r>
    </w:p>
    <w:p>
      <w:pPr>
        <w:pStyle w:val="Heading2"/>
        <w:spacing w:before="320" w:after="160"/>
      </w:pPr>
      <w:r>
        <w:rPr>
          <w:b/>
          <w:bCs/>
          <w:color w:val="1e3a8a"/>
          <w:sz w:val="28"/>
          <w:szCs w:val="28"/>
          <w:rFonts w:ascii="Calibri" w:cs="Calibri" w:eastAsia="Calibri" w:hAnsi="Calibri"/>
        </w:rPr>
        <w:t xml:space="preserve">8.1 Ambiente de Testes</w:t>
      </w:r>
    </w:p>
    <w:p>
      <w:pPr>
        <w:pStyle w:val="ListParagraph"/>
        <w:numPr>
          <w:ilvl w:val="0"/>
          <w:numId w:val="1"/>
        </w:numPr>
        <w:spacing w:after="80"/>
      </w:pPr>
      <w:r>
        <w:rPr>
          <w:color w:val="374151"/>
          <w:sz w:val="22"/>
          <w:szCs w:val="22"/>
          <w:rFonts w:ascii="Calibri" w:cs="Calibri" w:eastAsia="Calibri" w:hAnsi="Calibri"/>
        </w:rPr>
        <w:t xml:space="preserve">Deve existir um ambiente de teste/homologação isolado do ambiente de produção</w:t>
      </w:r>
    </w:p>
    <w:p>
      <w:pPr>
        <w:pStyle w:val="ListParagraph"/>
        <w:numPr>
          <w:ilvl w:val="0"/>
          <w:numId w:val="1"/>
        </w:numPr>
        <w:spacing w:after="80"/>
      </w:pPr>
      <w:r>
        <w:rPr>
          <w:color w:val="374151"/>
          <w:sz w:val="22"/>
          <w:szCs w:val="22"/>
          <w:rFonts w:ascii="Calibri" w:cs="Calibri" w:eastAsia="Calibri" w:hAnsi="Calibri"/>
        </w:rPr>
        <w:t xml:space="preserve">O ambiente de teste não deve conter dados pessoais reais; devem ser utilizados dados anonimizados ou gerados</w:t>
      </w:r>
    </w:p>
    <w:p>
      <w:pPr>
        <w:pStyle w:val="ListParagraph"/>
        <w:numPr>
          <w:ilvl w:val="0"/>
          <w:numId w:val="1"/>
        </w:numPr>
        <w:spacing w:after="80"/>
      </w:pPr>
      <w:r>
        <w:rPr>
          <w:color w:val="374151"/>
          <w:sz w:val="22"/>
          <w:szCs w:val="22"/>
          <w:rFonts w:ascii="Calibri" w:cs="Calibri" w:eastAsia="Calibri" w:hAnsi="Calibri"/>
        </w:rPr>
        <w:t xml:space="preserve">A configuração do ambiente de teste deve refletir a configuração do ambiente de produção</w:t>
      </w:r>
    </w:p>
    <w:p>
      <w:pPr>
        <w:pStyle w:val="ListParagraph"/>
        <w:numPr>
          <w:ilvl w:val="0"/>
          <w:numId w:val="1"/>
        </w:numPr>
        <w:spacing w:after="80"/>
      </w:pPr>
      <w:r>
        <w:rPr>
          <w:color w:val="374151"/>
          <w:sz w:val="22"/>
          <w:szCs w:val="22"/>
          <w:rFonts w:ascii="Calibri" w:cs="Calibri" w:eastAsia="Calibri" w:hAnsi="Calibri"/>
        </w:rPr>
        <w:t xml:space="preserve">O acesso ao ambiente de teste deve ser controlado e monitorizado</w:t>
      </w:r>
    </w:p>
    <w:p>
      <w:pPr>
        <w:pStyle w:val="Heading2"/>
        <w:spacing w:before="320" w:after="160"/>
      </w:pPr>
      <w:r>
        <w:rPr>
          <w:b/>
          <w:bCs/>
          <w:color w:val="1e3a8a"/>
          <w:sz w:val="28"/>
          <w:szCs w:val="28"/>
          <w:rFonts w:ascii="Calibri" w:cs="Calibri" w:eastAsia="Calibri" w:hAnsi="Calibri"/>
        </w:rPr>
        <w:t xml:space="preserve">8.2 Critérios de Aceitação de Segurança</w:t>
      </w:r>
    </w:p>
    <w:p>
      <w:pPr>
        <w:pStyle w:val="ListParagraph"/>
        <w:numPr>
          <w:ilvl w:val="0"/>
          <w:numId w:val="1"/>
        </w:numPr>
        <w:spacing w:after="80"/>
      </w:pPr>
      <w:r>
        <w:rPr>
          <w:color w:val="374151"/>
          <w:sz w:val="22"/>
          <w:szCs w:val="22"/>
          <w:rFonts w:ascii="Calibri" w:cs="Calibri" w:eastAsia="Calibri" w:hAnsi="Calibri"/>
        </w:rPr>
        <w:t xml:space="preserve">Ausência de vulnerabilidades críticas ou elevadas não remediadas nos resultados de SAST/DAST</w:t>
      </w:r>
    </w:p>
    <w:p>
      <w:pPr>
        <w:pStyle w:val="ListParagraph"/>
        <w:numPr>
          <w:ilvl w:val="0"/>
          <w:numId w:val="1"/>
        </w:numPr>
        <w:spacing w:after="80"/>
      </w:pPr>
      <w:r>
        <w:rPr>
          <w:color w:val="374151"/>
          <w:sz w:val="22"/>
          <w:szCs w:val="22"/>
          <w:rFonts w:ascii="Calibri" w:cs="Calibri" w:eastAsia="Calibri" w:hAnsi="Calibri"/>
        </w:rPr>
        <w:t xml:space="preserve">Conformidade com a baseline de configuração segura definida para o tipo de sistema</w:t>
      </w:r>
    </w:p>
    <w:p>
      <w:pPr>
        <w:pStyle w:val="ListParagraph"/>
        <w:numPr>
          <w:ilvl w:val="0"/>
          <w:numId w:val="1"/>
        </w:numPr>
        <w:spacing w:after="80"/>
      </w:pPr>
      <w:r>
        <w:rPr>
          <w:color w:val="374151"/>
          <w:sz w:val="22"/>
          <w:szCs w:val="22"/>
          <w:rFonts w:ascii="Calibri" w:cs="Calibri" w:eastAsia="Calibri" w:hAnsi="Calibri"/>
        </w:rPr>
        <w:t xml:space="preserve">Testes de autenticação e autorização passados com sucesso</w:t>
      </w:r>
    </w:p>
    <w:p>
      <w:pPr>
        <w:pStyle w:val="ListParagraph"/>
        <w:numPr>
          <w:ilvl w:val="0"/>
          <w:numId w:val="1"/>
        </w:numPr>
        <w:spacing w:after="80"/>
      </w:pPr>
      <w:r>
        <w:rPr>
          <w:color w:val="374151"/>
          <w:sz w:val="22"/>
          <w:szCs w:val="22"/>
          <w:rFonts w:ascii="Calibri" w:cs="Calibri" w:eastAsia="Calibri" w:hAnsi="Calibri"/>
        </w:rPr>
        <w:t xml:space="preserve">Logging e monitorização configurados e validados</w:t>
      </w:r>
    </w:p>
    <w:p>
      <w:pPr>
        <w:pStyle w:val="ListParagraph"/>
        <w:numPr>
          <w:ilvl w:val="0"/>
          <w:numId w:val="1"/>
        </w:numPr>
        <w:spacing w:after="80"/>
      </w:pPr>
      <w:r>
        <w:rPr>
          <w:color w:val="374151"/>
          <w:sz w:val="22"/>
          <w:szCs w:val="22"/>
          <w:rFonts w:ascii="Calibri" w:cs="Calibri" w:eastAsia="Calibri" w:hAnsi="Calibri"/>
        </w:rPr>
        <w:t xml:space="preserve">Backup e processo de restauro testado e validado</w:t>
      </w:r>
    </w:p>
    <w:p>
      <w:pPr>
        <w:pStyle w:val="ListParagraph"/>
        <w:numPr>
          <w:ilvl w:val="0"/>
          <w:numId w:val="1"/>
        </w:numPr>
        <w:spacing w:after="80"/>
      </w:pPr>
      <w:r>
        <w:rPr>
          <w:color w:val="374151"/>
          <w:sz w:val="22"/>
          <w:szCs w:val="22"/>
          <w:rFonts w:ascii="Calibri" w:cs="Calibri" w:eastAsia="Calibri" w:hAnsi="Calibri"/>
        </w:rPr>
        <w:t xml:space="preserve">Documentação de segurança completa e aprovada pelo CISO</w:t>
      </w:r>
    </w:p>
    <w:p>
      <w:pPr>
        <w:pStyle w:val="Heading2"/>
        <w:spacing w:before="320" w:after="160"/>
      </w:pPr>
      <w:r>
        <w:rPr>
          <w:b/>
          <w:bCs/>
          <w:color w:val="1e3a8a"/>
          <w:sz w:val="28"/>
          <w:szCs w:val="28"/>
          <w:rFonts w:ascii="Calibri" w:cs="Calibri" w:eastAsia="Calibri" w:hAnsi="Calibri"/>
        </w:rPr>
        <w:t xml:space="preserve">8.3 Testes de Segurança Pré-produção</w:t>
      </w:r>
    </w:p>
    <w:p>
      <w:pPr>
        <w:spacing w:after="160"/>
      </w:pPr>
      <w:r>
        <w:rPr>
          <w:color w:val="374151"/>
          <w:sz w:val="22"/>
          <w:szCs w:val="22"/>
          <w:rFonts w:ascii="Calibri" w:cs="Calibri" w:eastAsia="Calibri" w:hAnsi="Calibri"/>
        </w:rPr>
        <w:t xml:space="preserve">Para sistemas classificados como críticos, é obrigatória a realização de um teste de penetração direcionado antes da primeira colocação em produção. Para atualizações maiores, devem ser realizados testes de regressão de segurança para garantir que novas funcionalidades não introduziram vulnerabilidades.</w:t>
      </w:r>
    </w:p>
    <w:p>
      <w:pPr>
        <w:pStyle w:val="Heading1"/>
        <w:spacing w:before="400" w:after="200"/>
      </w:pPr>
      <w:r>
        <w:rPr>
          <w:b/>
          <w:bCs/>
          <w:color w:val="1e3a8a"/>
          <w:sz w:val="32"/>
          <w:szCs w:val="32"/>
          <w:rFonts w:ascii="Calibri" w:cs="Calibri" w:eastAsia="Calibri" w:hAnsi="Calibri"/>
        </w:rPr>
        <w:t xml:space="preserve">9. Manutenção e Suporte de Sistemas TIC</w:t>
      </w:r>
    </w:p>
    <w:p>
      <w:pPr>
        <w:shd w:color="dbeafe" w:val="solid"/>
        <w:spacing w:before="160" w:after="160"/>
        <w:ind w:left="360" w:right="360"/>
      </w:pPr>
      <w:r>
        <w:rPr>
          <w:i/>
          <w:iCs/>
          <w:color w:val="1e3a8a"/>
          <w:sz w:val="22"/>
          <w:szCs w:val="22"/>
          <w:rFonts w:ascii="Calibri" w:cs="Calibri" w:eastAsia="Calibri" w:hAnsi="Calibri"/>
        </w:rPr>
        <w:t xml:space="preserve">Referência legal: CIR 2024/2690, Anexo 6.5 — Manutenção de sistemas ao longo do ciclo de vida</w:t>
      </w:r>
    </w:p>
    <w:p>
      <w:pPr>
        <w:spacing w:after="160"/>
      </w:pPr>
      <w:r>
        <w:rPr>
          <w:color w:val="374151"/>
          <w:sz w:val="22"/>
          <w:szCs w:val="22"/>
          <w:rFonts w:ascii="Calibri" w:cs="Calibri" w:eastAsia="Calibri" w:hAnsi="Calibri"/>
        </w:rPr>
        <w:t xml:space="preserve">A manutenção contínua dos sistemas TIC é essencial para preservar a sua segurança e funcionalidade ao longo do tempo. A organização implementa um programa estruturado de manutenção preventiva e corretiva.</w:t>
      </w:r>
    </w:p>
    <w:p>
      <w:pPr>
        <w:pStyle w:val="Heading2"/>
        <w:spacing w:before="320" w:after="160"/>
      </w:pPr>
      <w:r>
        <w:rPr>
          <w:b/>
          <w:bCs/>
          <w:color w:val="1e3a8a"/>
          <w:sz w:val="28"/>
          <w:szCs w:val="28"/>
          <w:rFonts w:ascii="Calibri" w:cs="Calibri" w:eastAsia="Calibri" w:hAnsi="Calibri"/>
        </w:rPr>
        <w:t xml:space="preserve">9.1 Contratos de Manutenção e Suporte</w:t>
      </w:r>
    </w:p>
    <w:p>
      <w:pPr>
        <w:pStyle w:val="ListParagraph"/>
        <w:numPr>
          <w:ilvl w:val="0"/>
          <w:numId w:val="1"/>
        </w:numPr>
        <w:spacing w:after="80"/>
      </w:pPr>
      <w:r>
        <w:rPr>
          <w:color w:val="374151"/>
          <w:sz w:val="22"/>
          <w:szCs w:val="22"/>
          <w:rFonts w:ascii="Calibri" w:cs="Calibri" w:eastAsia="Calibri" w:hAnsi="Calibri"/>
        </w:rPr>
        <w:t xml:space="preserve">Todos os sistemas críticos devem ter contratos de suporte ativo com o fabricante ou fornecedor</w:t>
      </w:r>
    </w:p>
    <w:p>
      <w:pPr>
        <w:pStyle w:val="ListParagraph"/>
        <w:numPr>
          <w:ilvl w:val="0"/>
          <w:numId w:val="1"/>
        </w:numPr>
        <w:spacing w:after="80"/>
      </w:pPr>
      <w:r>
        <w:rPr>
          <w:color w:val="374151"/>
          <w:sz w:val="22"/>
          <w:szCs w:val="22"/>
          <w:rFonts w:ascii="Calibri" w:cs="Calibri" w:eastAsia="Calibri" w:hAnsi="Calibri"/>
        </w:rPr>
        <w:t xml:space="preserve">Os contratos devem garantir: fornecimento de patches de segurança, suporte técnico em caso de incidente, tempo de resposta acordado</w:t>
      </w:r>
    </w:p>
    <w:p>
      <w:pPr>
        <w:pStyle w:val="ListParagraph"/>
        <w:numPr>
          <w:ilvl w:val="0"/>
          <w:numId w:val="1"/>
        </w:numPr>
        <w:spacing w:after="80"/>
      </w:pPr>
      <w:r>
        <w:rPr>
          <w:color w:val="374151"/>
          <w:sz w:val="22"/>
          <w:szCs w:val="22"/>
          <w:rFonts w:ascii="Calibri" w:cs="Calibri" w:eastAsia="Calibri" w:hAnsi="Calibri"/>
        </w:rPr>
        <w:t xml:space="preserve">Sistemas sem suporte do fabricante (EoL/EoS) devem ser migrados ou isolados com controlos compensatórios</w:t>
      </w:r>
    </w:p>
    <w:p>
      <w:pPr>
        <w:pStyle w:val="ListParagraph"/>
        <w:numPr>
          <w:ilvl w:val="0"/>
          <w:numId w:val="1"/>
        </w:numPr>
        <w:spacing w:after="80"/>
      </w:pPr>
      <w:r>
        <w:rPr>
          <w:color w:val="374151"/>
          <w:sz w:val="22"/>
          <w:szCs w:val="22"/>
          <w:rFonts w:ascii="Calibri" w:cs="Calibri" w:eastAsia="Calibri" w:hAnsi="Calibri"/>
        </w:rPr>
        <w:t xml:space="preserve">Os contratos devem ser revistos anualmente para garantir a sua adequação às necessidades da organização</w:t>
      </w:r>
    </w:p>
    <w:p>
      <w:pPr>
        <w:pStyle w:val="Heading2"/>
        <w:spacing w:before="320" w:after="160"/>
      </w:pPr>
      <w:r>
        <w:rPr>
          <w:b/>
          <w:bCs/>
          <w:color w:val="1e3a8a"/>
          <w:sz w:val="28"/>
          <w:szCs w:val="28"/>
          <w:rFonts w:ascii="Calibri" w:cs="Calibri" w:eastAsia="Calibri" w:hAnsi="Calibri"/>
        </w:rPr>
        <w:t xml:space="preserve">9.2 SLAs de Manutenção</w:t>
      </w:r>
    </w:p>
    <w:p>
      <w:pPr>
        <w:pStyle w:val="ListParagraph"/>
        <w:numPr>
          <w:ilvl w:val="0"/>
          <w:numId w:val="1"/>
        </w:numPr>
        <w:spacing w:after="80"/>
      </w:pPr>
      <w:r>
        <w:rPr>
          <w:color w:val="374151"/>
          <w:sz w:val="22"/>
          <w:szCs w:val="22"/>
          <w:rFonts w:ascii="Calibri" w:cs="Calibri" w:eastAsia="Calibri" w:hAnsi="Calibri"/>
        </w:rPr>
        <w:t xml:space="preserve">Tempo de resposta para problemas críticos (P1): máximo 4 horas</w:t>
      </w:r>
    </w:p>
    <w:p>
      <w:pPr>
        <w:pStyle w:val="ListParagraph"/>
        <w:numPr>
          <w:ilvl w:val="0"/>
          <w:numId w:val="1"/>
        </w:numPr>
        <w:spacing w:after="80"/>
      </w:pPr>
      <w:r>
        <w:rPr>
          <w:color w:val="374151"/>
          <w:sz w:val="22"/>
          <w:szCs w:val="22"/>
          <w:rFonts w:ascii="Calibri" w:cs="Calibri" w:eastAsia="Calibri" w:hAnsi="Calibri"/>
        </w:rPr>
        <w:t xml:space="preserve">Tempo de resolução para problemas críticos (P1): máximo 24 horas</w:t>
      </w:r>
    </w:p>
    <w:p>
      <w:pPr>
        <w:pStyle w:val="ListParagraph"/>
        <w:numPr>
          <w:ilvl w:val="0"/>
          <w:numId w:val="1"/>
        </w:numPr>
        <w:spacing w:after="80"/>
      </w:pPr>
      <w:r>
        <w:rPr>
          <w:color w:val="374151"/>
          <w:sz w:val="22"/>
          <w:szCs w:val="22"/>
          <w:rFonts w:ascii="Calibri" w:cs="Calibri" w:eastAsia="Calibri" w:hAnsi="Calibri"/>
        </w:rPr>
        <w:t xml:space="preserve">Disponibilidade do serviço de suporte: mínimo 8h/dia dias úteis; 24/7 para sistemas críticos</w:t>
      </w:r>
    </w:p>
    <w:p>
      <w:pPr>
        <w:pStyle w:val="ListParagraph"/>
        <w:numPr>
          <w:ilvl w:val="0"/>
          <w:numId w:val="1"/>
        </w:numPr>
        <w:spacing w:after="80"/>
      </w:pPr>
      <w:r>
        <w:rPr>
          <w:color w:val="374151"/>
          <w:sz w:val="22"/>
          <w:szCs w:val="22"/>
          <w:rFonts w:ascii="Calibri" w:cs="Calibri" w:eastAsia="Calibri" w:hAnsi="Calibri"/>
        </w:rPr>
        <w:t xml:space="preserve">Os SLAs devem estar formalmente definidos nos contratos e sujeitos a penalizações por incumprimento</w:t>
      </w:r>
    </w:p>
    <w:p>
      <w:pPr>
        <w:pStyle w:val="Heading2"/>
        <w:spacing w:before="320" w:after="160"/>
      </w:pPr>
      <w:r>
        <w:rPr>
          <w:b/>
          <w:bCs/>
          <w:color w:val="1e3a8a"/>
          <w:sz w:val="28"/>
          <w:szCs w:val="28"/>
          <w:rFonts w:ascii="Calibri" w:cs="Calibri" w:eastAsia="Calibri" w:hAnsi="Calibri"/>
        </w:rPr>
        <w:t xml:space="preserve">9.3 Monitorização Contínua</w:t>
      </w:r>
    </w:p>
    <w:p>
      <w:pPr>
        <w:pStyle w:val="ListParagraph"/>
        <w:numPr>
          <w:ilvl w:val="0"/>
          <w:numId w:val="1"/>
        </w:numPr>
        <w:spacing w:after="80"/>
      </w:pPr>
      <w:r>
        <w:rPr>
          <w:color w:val="374151"/>
          <w:sz w:val="22"/>
          <w:szCs w:val="22"/>
          <w:rFonts w:ascii="Calibri" w:cs="Calibri" w:eastAsia="Calibri" w:hAnsi="Calibri"/>
        </w:rPr>
        <w:t xml:space="preserve">Todos os sistemas em produção devem ser monitorizados continuamente para disponibilidade e eventos de segurança</w:t>
      </w:r>
    </w:p>
    <w:p>
      <w:pPr>
        <w:pStyle w:val="ListParagraph"/>
        <w:numPr>
          <w:ilvl w:val="0"/>
          <w:numId w:val="1"/>
        </w:numPr>
        <w:spacing w:after="80"/>
      </w:pPr>
      <w:r>
        <w:rPr>
          <w:color w:val="374151"/>
          <w:sz w:val="22"/>
          <w:szCs w:val="22"/>
          <w:rFonts w:ascii="Calibri" w:cs="Calibri" w:eastAsia="Calibri" w:hAnsi="Calibri"/>
        </w:rPr>
        <w:t xml:space="preserve">Os alertas de segurança devem ser centralizados no SIEM da organização</w:t>
      </w:r>
    </w:p>
    <w:p>
      <w:pPr>
        <w:pStyle w:val="ListParagraph"/>
        <w:numPr>
          <w:ilvl w:val="0"/>
          <w:numId w:val="1"/>
        </w:numPr>
        <w:spacing w:after="80"/>
      </w:pPr>
      <w:r>
        <w:rPr>
          <w:color w:val="374151"/>
          <w:sz w:val="22"/>
          <w:szCs w:val="22"/>
          <w:rFonts w:ascii="Calibri" w:cs="Calibri" w:eastAsia="Calibri" w:hAnsi="Calibri"/>
        </w:rPr>
        <w:t xml:space="preserve">Deve existir um processo de análise regular dos logs de segurança</w:t>
      </w:r>
    </w:p>
    <w:p>
      <w:pPr>
        <w:pStyle w:val="ListParagraph"/>
        <w:numPr>
          <w:ilvl w:val="0"/>
          <w:numId w:val="1"/>
        </w:numPr>
        <w:spacing w:after="80"/>
      </w:pPr>
      <w:r>
        <w:rPr>
          <w:color w:val="374151"/>
          <w:sz w:val="22"/>
          <w:szCs w:val="22"/>
          <w:rFonts w:ascii="Calibri" w:cs="Calibri" w:eastAsia="Calibri" w:hAnsi="Calibri"/>
        </w:rPr>
        <w:t xml:space="preserve">Métricas de saúde e segurança dos sistemas devem ser reportadas mensalmente ao CISO</w:t>
      </w:r>
    </w:p>
    <w:p>
      <w:pPr>
        <w:pStyle w:val="Heading1"/>
        <w:spacing w:before="400" w:after="200"/>
      </w:pPr>
      <w:r>
        <w:rPr>
          <w:b/>
          <w:bCs/>
          <w:color w:val="1e3a8a"/>
          <w:sz w:val="32"/>
          <w:szCs w:val="32"/>
          <w:rFonts w:ascii="Calibri" w:cs="Calibri" w:eastAsia="Calibri" w:hAnsi="Calibri"/>
        </w:rPr>
        <w:t xml:space="preserve">10. Fim de Vida e Descomissionamento</w:t>
      </w:r>
    </w:p>
    <w:p>
      <w:pPr>
        <w:shd w:color="dbeafe" w:val="solid"/>
        <w:spacing w:before="160" w:after="160"/>
        <w:ind w:left="360" w:right="360"/>
      </w:pPr>
      <w:r>
        <w:rPr>
          <w:i/>
          <w:iCs/>
          <w:color w:val="1e3a8a"/>
          <w:sz w:val="22"/>
          <w:szCs w:val="22"/>
          <w:rFonts w:ascii="Calibri" w:cs="Calibri" w:eastAsia="Calibri" w:hAnsi="Calibri"/>
        </w:rPr>
        <w:t xml:space="preserve">Referência legal: CIR 2024/2690, Anexo 6.5 — Gestão segura do fim de vida de sistemas</w:t>
      </w:r>
    </w:p>
    <w:p>
      <w:pPr>
        <w:spacing w:after="160"/>
      </w:pPr>
      <w:r>
        <w:rPr>
          <w:color w:val="374151"/>
          <w:sz w:val="22"/>
          <w:szCs w:val="22"/>
          <w:rFonts w:ascii="Calibri" w:cs="Calibri" w:eastAsia="Calibri" w:hAnsi="Calibri"/>
        </w:rPr>
        <w:t xml:space="preserve">O descomissionamento seguro de sistemas TIC é tão importante quanto a sua implementação. Dados e configurações residuais em sistemas descomissionados podem constituir vetores de comprometimento.</w:t>
      </w:r>
    </w:p>
    <w:p>
      <w:pPr>
        <w:pStyle w:val="Heading2"/>
        <w:spacing w:before="320" w:after="160"/>
      </w:pPr>
      <w:r>
        <w:rPr>
          <w:b/>
          <w:bCs/>
          <w:color w:val="1e3a8a"/>
          <w:sz w:val="28"/>
          <w:szCs w:val="28"/>
          <w:rFonts w:ascii="Calibri" w:cs="Calibri" w:eastAsia="Calibri" w:hAnsi="Calibri"/>
        </w:rPr>
        <w:t xml:space="preserve">10.1 Critérios de Fim de Vida (EOL)</w:t>
      </w:r>
    </w:p>
    <w:p>
      <w:pPr>
        <w:pStyle w:val="ListParagraph"/>
        <w:numPr>
          <w:ilvl w:val="0"/>
          <w:numId w:val="1"/>
        </w:numPr>
        <w:spacing w:after="80"/>
      </w:pPr>
      <w:r>
        <w:rPr>
          <w:color w:val="374151"/>
          <w:sz w:val="22"/>
          <w:szCs w:val="22"/>
          <w:rFonts w:ascii="Calibri" w:cs="Calibri" w:eastAsia="Calibri" w:hAnsi="Calibri"/>
        </w:rPr>
        <w:t xml:space="preserve">Fim de suporte pelo fabricante (End of Support/End of Life): início obrigatório do processo de migração ou isolamento</w:t>
      </w:r>
    </w:p>
    <w:p>
      <w:pPr>
        <w:pStyle w:val="ListParagraph"/>
        <w:numPr>
          <w:ilvl w:val="0"/>
          <w:numId w:val="1"/>
        </w:numPr>
        <w:spacing w:after="80"/>
      </w:pPr>
      <w:r>
        <w:rPr>
          <w:color w:val="374151"/>
          <w:sz w:val="22"/>
          <w:szCs w:val="22"/>
          <w:rFonts w:ascii="Calibri" w:cs="Calibri" w:eastAsia="Calibri" w:hAnsi="Calibri"/>
        </w:rPr>
        <w:t xml:space="preserve">Incapacidade de manter conformidade com os requisitos de segurança desta política</w:t>
      </w:r>
    </w:p>
    <w:p>
      <w:pPr>
        <w:pStyle w:val="ListParagraph"/>
        <w:numPr>
          <w:ilvl w:val="0"/>
          <w:numId w:val="1"/>
        </w:numPr>
        <w:spacing w:after="80"/>
      </w:pPr>
      <w:r>
        <w:rPr>
          <w:color w:val="374151"/>
          <w:sz w:val="22"/>
          <w:szCs w:val="22"/>
          <w:rFonts w:ascii="Calibri" w:cs="Calibri" w:eastAsia="Calibri" w:hAnsi="Calibri"/>
        </w:rPr>
        <w:t xml:space="preserve">Substituição por sistema mais adequado aprovado pelo proprietário de sistema</w:t>
      </w:r>
    </w:p>
    <w:p>
      <w:pPr>
        <w:pStyle w:val="ListParagraph"/>
        <w:numPr>
          <w:ilvl w:val="0"/>
          <w:numId w:val="1"/>
        </w:numPr>
        <w:spacing w:after="80"/>
      </w:pPr>
      <w:r>
        <w:rPr>
          <w:color w:val="374151"/>
          <w:sz w:val="22"/>
          <w:szCs w:val="22"/>
          <w:rFonts w:ascii="Calibri" w:cs="Calibri" w:eastAsia="Calibri" w:hAnsi="Calibri"/>
        </w:rPr>
        <w:t xml:space="preserve">Decisão estratégica de negócio devidamente aprovada</w:t>
      </w:r>
    </w:p>
    <w:p>
      <w:pPr>
        <w:pStyle w:val="Heading2"/>
        <w:spacing w:before="320" w:after="160"/>
      </w:pPr>
      <w:r>
        <w:rPr>
          <w:b/>
          <w:bCs/>
          <w:color w:val="1e3a8a"/>
          <w:sz w:val="28"/>
          <w:szCs w:val="28"/>
          <w:rFonts w:ascii="Calibri" w:cs="Calibri" w:eastAsia="Calibri" w:hAnsi="Calibri"/>
        </w:rPr>
        <w:t xml:space="preserve">10.2 Processo de Migração de Dados</w:t>
      </w:r>
    </w:p>
    <w:p>
      <w:pPr>
        <w:pStyle w:val="ListParagraph"/>
        <w:numPr>
          <w:ilvl w:val="0"/>
          <w:numId w:val="1"/>
        </w:numPr>
        <w:spacing w:after="80"/>
      </w:pPr>
      <w:r>
        <w:rPr>
          <w:color w:val="374151"/>
          <w:sz w:val="22"/>
          <w:szCs w:val="22"/>
          <w:rFonts w:ascii="Calibri" w:cs="Calibri" w:eastAsia="Calibri" w:hAnsi="Calibri"/>
        </w:rPr>
        <w:t xml:space="preserve">Antes do descomissionamento, todos os dados devem ser migrados para o sistema substituto ou arquivados de acordo com a política de retenção</w:t>
      </w:r>
    </w:p>
    <w:p>
      <w:pPr>
        <w:pStyle w:val="ListParagraph"/>
        <w:numPr>
          <w:ilvl w:val="0"/>
          <w:numId w:val="1"/>
        </w:numPr>
        <w:spacing w:after="80"/>
      </w:pPr>
      <w:r>
        <w:rPr>
          <w:color w:val="374151"/>
          <w:sz w:val="22"/>
          <w:szCs w:val="22"/>
          <w:rFonts w:ascii="Calibri" w:cs="Calibri" w:eastAsia="Calibri" w:hAnsi="Calibri"/>
        </w:rPr>
        <w:t xml:space="preserve">A migração deve ser validada e os dados verificados no sistema de destino</w:t>
      </w:r>
    </w:p>
    <w:p>
      <w:pPr>
        <w:pStyle w:val="ListParagraph"/>
        <w:numPr>
          <w:ilvl w:val="0"/>
          <w:numId w:val="1"/>
        </w:numPr>
        <w:spacing w:after="80"/>
      </w:pPr>
      <w:r>
        <w:rPr>
          <w:color w:val="374151"/>
          <w:sz w:val="22"/>
          <w:szCs w:val="22"/>
          <w:rFonts w:ascii="Calibri" w:cs="Calibri" w:eastAsia="Calibri" w:hAnsi="Calibri"/>
        </w:rPr>
        <w:t xml:space="preserve">Sistemas com dados pessoais devem seguir os requisitos do RGPD para migração ou eliminação</w:t>
      </w:r>
    </w:p>
    <w:p>
      <w:pPr>
        <w:pStyle w:val="ListParagraph"/>
        <w:numPr>
          <w:ilvl w:val="0"/>
          <w:numId w:val="1"/>
        </w:numPr>
        <w:spacing w:after="80"/>
      </w:pPr>
      <w:r>
        <w:rPr>
          <w:color w:val="374151"/>
          <w:sz w:val="22"/>
          <w:szCs w:val="22"/>
          <w:rFonts w:ascii="Calibri" w:cs="Calibri" w:eastAsia="Calibri" w:hAnsi="Calibri"/>
        </w:rPr>
        <w:t xml:space="preserve">Um inventário dos dados migrados ou eliminados deve ser produzido e arquivado</w:t>
      </w:r>
    </w:p>
    <w:p>
      <w:pPr>
        <w:pStyle w:val="Heading2"/>
        <w:spacing w:before="320" w:after="160"/>
      </w:pPr>
      <w:r>
        <w:rPr>
          <w:b/>
          <w:bCs/>
          <w:color w:val="1e3a8a"/>
          <w:sz w:val="28"/>
          <w:szCs w:val="28"/>
          <w:rFonts w:ascii="Calibri" w:cs="Calibri" w:eastAsia="Calibri" w:hAnsi="Calibri"/>
        </w:rPr>
        <w:t xml:space="preserve">10.3 Destruição Segura de Dados e Hardware</w:t>
      </w:r>
    </w:p>
    <w:p>
      <w:pPr>
        <w:pStyle w:val="ListParagraph"/>
        <w:numPr>
          <w:ilvl w:val="0"/>
          <w:numId w:val="1"/>
        </w:numPr>
        <w:spacing w:after="80"/>
      </w:pPr>
      <w:r>
        <w:rPr>
          <w:color w:val="374151"/>
          <w:sz w:val="22"/>
          <w:szCs w:val="22"/>
          <w:rFonts w:ascii="Calibri" w:cs="Calibri" w:eastAsia="Calibri" w:hAnsi="Calibri"/>
        </w:rPr>
        <w:t xml:space="preserve">Todos os dados devem ser eliminados de forma segura antes do descomissionamento do hardware (wipe conforme NIST SP 800-88)</w:t>
      </w:r>
    </w:p>
    <w:p>
      <w:pPr>
        <w:pStyle w:val="ListParagraph"/>
        <w:numPr>
          <w:ilvl w:val="0"/>
          <w:numId w:val="1"/>
        </w:numPr>
        <w:spacing w:after="80"/>
      </w:pPr>
      <w:r>
        <w:rPr>
          <w:color w:val="374151"/>
          <w:sz w:val="22"/>
          <w:szCs w:val="22"/>
          <w:rFonts w:ascii="Calibri" w:cs="Calibri" w:eastAsia="Calibri" w:hAnsi="Calibri"/>
        </w:rPr>
        <w:t xml:space="preserve">Suportes de armazenamento com dados sensíveis devem ser fisicamente destruídos ou certificados por empresa especializada</w:t>
      </w:r>
    </w:p>
    <w:p>
      <w:pPr>
        <w:pStyle w:val="ListParagraph"/>
        <w:numPr>
          <w:ilvl w:val="0"/>
          <w:numId w:val="1"/>
        </w:numPr>
        <w:spacing w:after="80"/>
      </w:pPr>
      <w:r>
        <w:rPr>
          <w:color w:val="374151"/>
          <w:sz w:val="22"/>
          <w:szCs w:val="22"/>
          <w:rFonts w:ascii="Calibri" w:cs="Calibri" w:eastAsia="Calibri" w:hAnsi="Calibri"/>
        </w:rPr>
        <w:t xml:space="preserve">Certificados de destruição devem ser arquivados durante o período de retenção aplicável</w:t>
      </w:r>
    </w:p>
    <w:p>
      <w:pPr>
        <w:pStyle w:val="ListParagraph"/>
        <w:numPr>
          <w:ilvl w:val="0"/>
          <w:numId w:val="1"/>
        </w:numPr>
        <w:spacing w:after="80"/>
      </w:pPr>
      <w:r>
        <w:rPr>
          <w:color w:val="374151"/>
          <w:sz w:val="22"/>
          <w:szCs w:val="22"/>
          <w:rFonts w:ascii="Calibri" w:cs="Calibri" w:eastAsia="Calibri" w:hAnsi="Calibri"/>
        </w:rPr>
        <w:t xml:space="preserve">Hardware sem dados sensíveis pode ser reutilizado internamente, doado ou vendido após confirmação de limpeza</w:t>
      </w:r>
    </w:p>
    <w:p>
      <w:pPr>
        <w:pStyle w:val="Heading1"/>
        <w:spacing w:before="400" w:after="200"/>
      </w:pPr>
      <w:r>
        <w:rPr>
          <w:b/>
          <w:bCs/>
          <w:color w:val="1e3a8a"/>
          <w:sz w:val="32"/>
          <w:szCs w:val="32"/>
          <w:rFonts w:ascii="Calibri" w:cs="Calibri" w:eastAsia="Calibri" w:hAnsi="Calibri"/>
        </w:rPr>
        <w:t xml:space="preserve">11. Papéis e Responsabilidades</w:t>
      </w:r>
    </w:p>
    <w:p>
      <w:pPr>
        <w:spacing w:after="160"/>
      </w:pPr>
      <w:r>
        <w:rPr>
          <w:color w:val="374151"/>
          <w:sz w:val="22"/>
          <w:szCs w:val="22"/>
          <w:rFonts w:ascii="Calibri" w:cs="Calibri" w:eastAsia="Calibri" w:hAnsi="Calibri"/>
        </w:rPr>
        <w:t xml:space="preserve">A gestão do ciclo de vida dos sistemas TIC envolve múltiplos atores com responsabilidades distintas e complementares.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Papel</w:t>
            </w:r>
          </w:p>
        </w:tc>
        <w:tc>
          <w:tcPr>
            <w:shd w:color="1e3a8a" w:val="solid"/>
            <w:vAlign w:val="center"/>
          </w:tcPr>
          <w:p>
            <w:pPr>
              <w:jc w:val="center"/>
            </w:pPr>
            <w:r>
              <w:rPr>
                <w:b/>
                <w:bCs/>
                <w:color w:val="ffffff"/>
                <w:sz w:val="22"/>
                <w:szCs w:val="22"/>
                <w:rFonts w:ascii="Calibri" w:cs="Calibri" w:eastAsia="Calibri" w:hAnsi="Calibri"/>
              </w:rPr>
              <w:t xml:space="preserve">Responsabilidades</w:t>
            </w:r>
          </w:p>
        </w:tc>
        <w:tc>
          <w:tcPr>
            <w:shd w:color="1e3a8a" w:val="solid"/>
            <w:vAlign w:val="center"/>
          </w:tcPr>
          <w:p>
            <w:pPr>
              <w:jc w:val="center"/>
            </w:pPr>
            <w:r>
              <w:rPr>
                <w:b/>
                <w:bCs/>
                <w:color w:val="ffffff"/>
                <w:sz w:val="22"/>
                <w:szCs w:val="22"/>
                <w:rFonts w:ascii="Calibri" w:cs="Calibri" w:eastAsia="Calibri" w:hAnsi="Calibri"/>
              </w:rPr>
              <w:t xml:space="preserve">Sistemas TIC</w:t>
            </w:r>
          </w:p>
        </w:tc>
      </w:tr>
      <w:tr>
        <w:tc>
          <w:tcPr>
            <w:vAlign w:val="center"/>
          </w:tcPr>
          <w:p>
            <w:r>
              <w:rPr>
                <w:b w:val="false"/>
                <w:bCs w:val="false"/>
                <w:color w:val="374151"/>
                <w:sz w:val="22"/>
                <w:szCs w:val="22"/>
                <w:rFonts w:ascii="Calibri" w:cs="Calibri" w:eastAsia="Calibri" w:hAnsi="Calibri"/>
              </w:rPr>
              <w:t xml:space="preserve">Proprietário de Sistema</w:t>
            </w:r>
          </w:p>
        </w:tc>
        <w:tc>
          <w:tcPr>
            <w:vAlign w:val="center"/>
          </w:tcPr>
          <w:p>
            <w:r>
              <w:rPr>
                <w:b w:val="false"/>
                <w:bCs w:val="false"/>
                <w:color w:val="374151"/>
                <w:sz w:val="22"/>
                <w:szCs w:val="22"/>
                <w:rFonts w:ascii="Calibri" w:cs="Calibri" w:eastAsia="Calibri" w:hAnsi="Calibri"/>
              </w:rPr>
              <w:t xml:space="preserve">Responsável pelo sistema durante todo o ciclo de vida; aprova alterações; garante financiamento para manutenção</w:t>
            </w:r>
          </w:p>
        </w:tc>
        <w:tc>
          <w:tcPr>
            <w:vAlign w:val="center"/>
          </w:tcPr>
          <w:p>
            <w:r>
              <w:rPr>
                <w:b w:val="false"/>
                <w:bCs w:val="false"/>
                <w:color w:val="374151"/>
                <w:sz w:val="22"/>
                <w:szCs w:val="22"/>
                <w:rFonts w:ascii="Calibri" w:cs="Calibri" w:eastAsia="Calibri" w:hAnsi="Calibri"/>
              </w:rPr>
              <w:t xml:space="preserve">Todos os sistemas classificados</w:t>
            </w:r>
          </w:p>
        </w:tc>
      </w:tr>
      <w:tr>
        <w:tc>
          <w:tcPr>
            <w:shd w:color="f3f4f6" w:val="solid"/>
            <w:vAlign w:val="center"/>
          </w:tcPr>
          <w:p>
            <w:r>
              <w:rPr>
                <w:b w:val="false"/>
                <w:bCs w:val="false"/>
                <w:color w:val="374151"/>
                <w:sz w:val="22"/>
                <w:szCs w:val="22"/>
                <w:rFonts w:ascii="Calibri" w:cs="Calibri" w:eastAsia="Calibri" w:hAnsi="Calibri"/>
              </w:rPr>
              <w:t xml:space="preserve">Equipa de TI</w:t>
            </w:r>
          </w:p>
        </w:tc>
        <w:tc>
          <w:tcPr>
            <w:shd w:color="f3f4f6" w:val="solid"/>
            <w:vAlign w:val="center"/>
          </w:tcPr>
          <w:p>
            <w:r>
              <w:rPr>
                <w:b w:val="false"/>
                <w:bCs w:val="false"/>
                <w:color w:val="374151"/>
                <w:sz w:val="22"/>
                <w:szCs w:val="22"/>
                <w:rFonts w:ascii="Calibri" w:cs="Calibri" w:eastAsia="Calibri" w:hAnsi="Calibri"/>
              </w:rPr>
              <w:t xml:space="preserve">Operação, manutenção, aplicação de patches, monitorização; suporte técnico diário</w:t>
            </w:r>
          </w:p>
        </w:tc>
        <w:tc>
          <w:tcPr>
            <w:shd w:color="f3f4f6" w:val="solid"/>
            <w:vAlign w:val="center"/>
          </w:tcPr>
          <w:p>
            <w:r>
              <w:rPr>
                <w:b w:val="false"/>
                <w:bCs w:val="false"/>
                <w:color w:val="374151"/>
                <w:sz w:val="22"/>
                <w:szCs w:val="22"/>
                <w:rFonts w:ascii="Calibri" w:cs="Calibri" w:eastAsia="Calibri" w:hAnsi="Calibri"/>
              </w:rPr>
              <w:t xml:space="preserve">Infraestrutura, sistemas de suporte</w:t>
            </w:r>
          </w:p>
        </w:tc>
      </w:tr>
      <w:tr>
        <w:tc>
          <w:tcPr>
            <w:vAlign w:val="center"/>
          </w:tcPr>
          <w:p>
            <w:r>
              <w:rPr>
                <w:b w:val="false"/>
                <w:bCs w:val="false"/>
                <w:color w:val="374151"/>
                <w:sz w:val="22"/>
                <w:szCs w:val="22"/>
                <w:rFonts w:ascii="Calibri" w:cs="Calibri" w:eastAsia="Calibri" w:hAnsi="Calibri"/>
              </w:rPr>
              <w:t xml:space="preserve">Equipa de Segurança / CISO</w:t>
            </w:r>
          </w:p>
        </w:tc>
        <w:tc>
          <w:tcPr>
            <w:vAlign w:val="center"/>
          </w:tcPr>
          <w:p>
            <w:r>
              <w:rPr>
                <w:b w:val="false"/>
                <w:bCs w:val="false"/>
                <w:color w:val="374151"/>
                <w:sz w:val="22"/>
                <w:szCs w:val="22"/>
                <w:rFonts w:ascii="Calibri" w:cs="Calibri" w:eastAsia="Calibri" w:hAnsi="Calibri"/>
              </w:rPr>
              <w:t xml:space="preserve">Define requisitos de segurança; aprova baselines; revê resultados de scanning; define política de exceções</w:t>
            </w:r>
          </w:p>
        </w:tc>
        <w:tc>
          <w:tcPr>
            <w:vAlign w:val="center"/>
          </w:tcPr>
          <w:p>
            <w:r>
              <w:rPr>
                <w:b w:val="false"/>
                <w:bCs w:val="false"/>
                <w:color w:val="374151"/>
                <w:sz w:val="22"/>
                <w:szCs w:val="22"/>
                <w:rFonts w:ascii="Calibri" w:cs="Calibri" w:eastAsia="Calibri" w:hAnsi="Calibri"/>
              </w:rPr>
              <w:t xml:space="preserve">Todos os sistemas</w:t>
            </w:r>
          </w:p>
        </w:tc>
      </w:tr>
      <w:tr>
        <w:tc>
          <w:tcPr>
            <w:shd w:color="f3f4f6" w:val="solid"/>
            <w:vAlign w:val="center"/>
          </w:tcPr>
          <w:p>
            <w:r>
              <w:rPr>
                <w:b w:val="false"/>
                <w:bCs w:val="false"/>
                <w:color w:val="374151"/>
                <w:sz w:val="22"/>
                <w:szCs w:val="22"/>
                <w:rFonts w:ascii="Calibri" w:cs="Calibri" w:eastAsia="Calibri" w:hAnsi="Calibri"/>
              </w:rPr>
              <w:t xml:space="preserve">Procurement / Compras</w:t>
            </w:r>
          </w:p>
        </w:tc>
        <w:tc>
          <w:tcPr>
            <w:shd w:color="f3f4f6" w:val="solid"/>
            <w:vAlign w:val="center"/>
          </w:tcPr>
          <w:p>
            <w:r>
              <w:rPr>
                <w:b w:val="false"/>
                <w:bCs w:val="false"/>
                <w:color w:val="374151"/>
                <w:sz w:val="22"/>
                <w:szCs w:val="22"/>
                <w:rFonts w:ascii="Calibri" w:cs="Calibri" w:eastAsia="Calibri" w:hAnsi="Calibri"/>
              </w:rPr>
              <w:t xml:space="preserve">Processo de aquisição; due diligence de fornecedores; inclusão de requisitos de segurança em RFPs</w:t>
            </w:r>
          </w:p>
        </w:tc>
        <w:tc>
          <w:tcPr>
            <w:shd w:color="f3f4f6" w:val="solid"/>
            <w:vAlign w:val="center"/>
          </w:tcPr>
          <w:p>
            <w:r>
              <w:rPr>
                <w:b w:val="false"/>
                <w:bCs w:val="false"/>
                <w:color w:val="374151"/>
                <w:sz w:val="22"/>
                <w:szCs w:val="22"/>
                <w:rFonts w:ascii="Calibri" w:cs="Calibri" w:eastAsia="Calibri" w:hAnsi="Calibri"/>
              </w:rPr>
              <w:t xml:space="preserve">Novos sistemas e renováveis</w:t>
            </w:r>
          </w:p>
        </w:tc>
      </w:tr>
      <w:tr>
        <w:tc>
          <w:tcPr>
            <w:vAlign w:val="center"/>
          </w:tcPr>
          <w:p>
            <w:r>
              <w:rPr>
                <w:b w:val="false"/>
                <w:bCs w:val="false"/>
                <w:color w:val="374151"/>
                <w:sz w:val="22"/>
                <w:szCs w:val="22"/>
                <w:rFonts w:ascii="Calibri" w:cs="Calibri" w:eastAsia="Calibri" w:hAnsi="Calibri"/>
              </w:rPr>
              <w:t xml:space="preserve">Equipa de Desenvolvimento</w:t>
            </w:r>
          </w:p>
        </w:tc>
        <w:tc>
          <w:tcPr>
            <w:vAlign w:val="center"/>
          </w:tcPr>
          <w:p>
            <w:r>
              <w:rPr>
                <w:b w:val="false"/>
                <w:bCs w:val="false"/>
                <w:color w:val="374151"/>
                <w:sz w:val="22"/>
                <w:szCs w:val="22"/>
                <w:rFonts w:ascii="Calibri" w:cs="Calibri" w:eastAsia="Calibri" w:hAnsi="Calibri"/>
              </w:rPr>
              <w:t xml:space="preserve">Desenvolvimento seguro; revisão de código; correção de vulnerabilidades; documentação</w:t>
            </w:r>
          </w:p>
        </w:tc>
        <w:tc>
          <w:tcPr>
            <w:vAlign w:val="center"/>
          </w:tcPr>
          <w:p>
            <w:r>
              <w:rPr>
                <w:b w:val="false"/>
                <w:bCs w:val="false"/>
                <w:color w:val="374151"/>
                <w:sz w:val="22"/>
                <w:szCs w:val="22"/>
                <w:rFonts w:ascii="Calibri" w:cs="Calibri" w:eastAsia="Calibri" w:hAnsi="Calibri"/>
              </w:rPr>
              <w:t xml:space="preserve">Aplicações desenvolvidas internamente</w:t>
            </w:r>
          </w:p>
        </w:tc>
      </w:tr>
    </w:tbl>
    <w:p>
      <w:pPr>
        <w:spacing w:after="200"/>
      </w:pPr>
    </w:p>
    <w:p>
      <w:pPr>
        <w:pStyle w:val="Heading2"/>
        <w:spacing w:before="320" w:after="160"/>
      </w:pPr>
      <w:r>
        <w:rPr>
          <w:b/>
          <w:bCs/>
          <w:color w:val="1e3a8a"/>
          <w:sz w:val="28"/>
          <w:szCs w:val="28"/>
          <w:rFonts w:ascii="Calibri" w:cs="Calibri" w:eastAsia="Calibri" w:hAnsi="Calibri"/>
        </w:rPr>
        <w:t xml:space="preserve">11.1 Matriz RACI</w:t>
      </w:r>
    </w:p>
    <w:p>
      <w:pPr>
        <w:pStyle w:val="ListParagraph"/>
        <w:numPr>
          <w:ilvl w:val="0"/>
          <w:numId w:val="1"/>
        </w:numPr>
        <w:spacing w:after="80"/>
      </w:pPr>
      <w:r>
        <w:rPr>
          <w:color w:val="374151"/>
          <w:sz w:val="22"/>
          <w:szCs w:val="22"/>
          <w:rFonts w:ascii="Calibri" w:cs="Calibri" w:eastAsia="Calibri" w:hAnsi="Calibri"/>
        </w:rPr>
        <w:t xml:space="preserve">Aquisição: Responsável — Procurement; Aprovador — CISO + Proprietário Sistema; Consultado — TI; Informado — Gestão</w:t>
      </w:r>
    </w:p>
    <w:p>
      <w:pPr>
        <w:pStyle w:val="ListParagraph"/>
        <w:numPr>
          <w:ilvl w:val="0"/>
          <w:numId w:val="1"/>
        </w:numPr>
        <w:spacing w:after="80"/>
      </w:pPr>
      <w:r>
        <w:rPr>
          <w:color w:val="374151"/>
          <w:sz w:val="22"/>
          <w:szCs w:val="22"/>
          <w:rFonts w:ascii="Calibri" w:cs="Calibri" w:eastAsia="Calibri" w:hAnsi="Calibri"/>
        </w:rPr>
        <w:t xml:space="preserve">Configuração segura: Responsável — TI; Aprovador — CISO; Consultado — Desenvolvimento; Informado — Proprietário Sistema</w:t>
      </w:r>
    </w:p>
    <w:p>
      <w:pPr>
        <w:pStyle w:val="ListParagraph"/>
        <w:numPr>
          <w:ilvl w:val="0"/>
          <w:numId w:val="1"/>
        </w:numPr>
        <w:spacing w:after="80"/>
      </w:pPr>
      <w:r>
        <w:rPr>
          <w:color w:val="374151"/>
          <w:sz w:val="22"/>
          <w:szCs w:val="22"/>
          <w:rFonts w:ascii="Calibri" w:cs="Calibri" w:eastAsia="Calibri" w:hAnsi="Calibri"/>
        </w:rPr>
        <w:t xml:space="preserve">Gestão de patches: Responsável — TI; Aprovador — Responsável TI; Consultado — CISO; Informado — Proprietário Sistema</w:t>
      </w:r>
    </w:p>
    <w:p>
      <w:pPr>
        <w:pStyle w:val="ListParagraph"/>
        <w:numPr>
          <w:ilvl w:val="0"/>
          <w:numId w:val="1"/>
        </w:numPr>
        <w:spacing w:after="80"/>
      </w:pPr>
      <w:r>
        <w:rPr>
          <w:color w:val="374151"/>
          <w:sz w:val="22"/>
          <w:szCs w:val="22"/>
          <w:rFonts w:ascii="Calibri" w:cs="Calibri" w:eastAsia="Calibri" w:hAnsi="Calibri"/>
        </w:rPr>
        <w:t xml:space="preserve">Desenvolvimento: Responsável — Equipa Desenvolvimento; Aprovador — Lead Developer + CISO; Consultado — TI; Informado — Proprietário Sistema</w:t>
      </w:r>
    </w:p>
    <w:p>
      <w:pPr>
        <w:pStyle w:val="ListParagraph"/>
        <w:numPr>
          <w:ilvl w:val="0"/>
          <w:numId w:val="1"/>
        </w:numPr>
        <w:spacing w:after="80"/>
      </w:pPr>
      <w:r>
        <w:rPr>
          <w:color w:val="374151"/>
          <w:sz w:val="22"/>
          <w:szCs w:val="22"/>
          <w:rFonts w:ascii="Calibri" w:cs="Calibri" w:eastAsia="Calibri" w:hAnsi="Calibri"/>
        </w:rPr>
        <w:t xml:space="preserve">Descomissionamento: Responsável — TI; Aprovador — Proprietário Sistema + CISO; Consultado — Jurídico; Informado — Gestão</w:t>
      </w:r>
    </w:p>
    <w:p>
      <w:pPr>
        <w:pStyle w:val="Heading1"/>
        <w:spacing w:before="400" w:after="200"/>
      </w:pPr>
      <w:r>
        <w:rPr>
          <w:b/>
          <w:bCs/>
          <w:color w:val="1e3a8a"/>
          <w:sz w:val="32"/>
          <w:szCs w:val="32"/>
          <w:rFonts w:ascii="Calibri" w:cs="Calibri" w:eastAsia="Calibri" w:hAnsi="Calibri"/>
        </w:rPr>
        <w:t xml:space="preserve">12. Registo e Documentação</w:t>
      </w:r>
    </w:p>
    <w:p>
      <w:pPr>
        <w:shd w:color="dbeafe" w:val="solid"/>
        <w:spacing w:before="160" w:after="160"/>
        <w:ind w:left="360" w:right="360"/>
      </w:pPr>
      <w:r>
        <w:rPr>
          <w:i/>
          <w:iCs/>
          <w:color w:val="1e3a8a"/>
          <w:sz w:val="22"/>
          <w:szCs w:val="22"/>
          <w:rFonts w:ascii="Calibri" w:cs="Calibri" w:eastAsia="Calibri" w:hAnsi="Calibri"/>
        </w:rPr>
        <w:t xml:space="preserve">Referência legal: Art. 26.º DL 125/2025 — Obrigações de documentação e evidência de conformidade</w:t>
      </w:r>
    </w:p>
    <w:p>
      <w:pPr>
        <w:spacing w:after="160"/>
      </w:pPr>
      <w:r>
        <w:rPr>
          <w:color w:val="374151"/>
          <w:sz w:val="22"/>
          <w:szCs w:val="22"/>
          <w:rFonts w:ascii="Calibri" w:cs="Calibri" w:eastAsia="Calibri" w:hAnsi="Calibri"/>
        </w:rPr>
        <w:t xml:space="preserve">A organização mantém documentação completa sobre o ciclo de vida dos sistemas TIC, que serve como evidência de conformidade e suporte a auditorias regulatórias.</w:t>
      </w:r>
    </w:p>
    <w:p>
      <w:pPr>
        <w:pStyle w:val="Heading2"/>
        <w:spacing w:before="320" w:after="160"/>
      </w:pPr>
      <w:r>
        <w:rPr>
          <w:b/>
          <w:bCs/>
          <w:color w:val="1e3a8a"/>
          <w:sz w:val="28"/>
          <w:szCs w:val="28"/>
          <w:rFonts w:ascii="Calibri" w:cs="Calibri" w:eastAsia="Calibri" w:hAnsi="Calibri"/>
        </w:rPr>
        <w:t xml:space="preserve">12.1 Inventário de Sistemas</w:t>
      </w:r>
    </w:p>
    <w:p>
      <w:pPr>
        <w:pStyle w:val="ListParagraph"/>
        <w:numPr>
          <w:ilvl w:val="0"/>
          <w:numId w:val="1"/>
        </w:numPr>
        <w:spacing w:after="80"/>
      </w:pPr>
      <w:r>
        <w:rPr>
          <w:color w:val="374151"/>
          <w:sz w:val="22"/>
          <w:szCs w:val="22"/>
          <w:rFonts w:ascii="Calibri" w:cs="Calibri" w:eastAsia="Calibri" w:hAnsi="Calibri"/>
        </w:rPr>
        <w:t xml:space="preserve">Deve existir um inventário atualizado de todos os sistemas TIC, incluindo: nome, proprietário, criticidade, versão, data de fim de suporte, localização, e estado de conformidade</w:t>
      </w:r>
    </w:p>
    <w:p>
      <w:pPr>
        <w:pStyle w:val="ListParagraph"/>
        <w:numPr>
          <w:ilvl w:val="0"/>
          <w:numId w:val="1"/>
        </w:numPr>
        <w:spacing w:after="80"/>
      </w:pPr>
      <w:r>
        <w:rPr>
          <w:color w:val="374151"/>
          <w:sz w:val="22"/>
          <w:szCs w:val="22"/>
          <w:rFonts w:ascii="Calibri" w:cs="Calibri" w:eastAsia="Calibri" w:hAnsi="Calibri"/>
        </w:rPr>
        <w:t xml:space="preserve">O inventário deve ser atualizado sempre que um sistema é adquirido, alterado significativamente ou descomissionado</w:t>
      </w:r>
    </w:p>
    <w:p>
      <w:pPr>
        <w:pStyle w:val="ListParagraph"/>
        <w:numPr>
          <w:ilvl w:val="0"/>
          <w:numId w:val="1"/>
        </w:numPr>
        <w:spacing w:after="80"/>
      </w:pPr>
      <w:r>
        <w:rPr>
          <w:color w:val="374151"/>
          <w:sz w:val="22"/>
          <w:szCs w:val="22"/>
          <w:rFonts w:ascii="Calibri" w:cs="Calibri" w:eastAsia="Calibri" w:hAnsi="Calibri"/>
        </w:rPr>
        <w:t xml:space="preserve">O inventário deve ser revisto e validado pelo menos trimestralmente</w:t>
      </w:r>
    </w:p>
    <w:p>
      <w:pPr>
        <w:pStyle w:val="ListParagraph"/>
        <w:numPr>
          <w:ilvl w:val="0"/>
          <w:numId w:val="1"/>
        </w:numPr>
        <w:spacing w:after="80"/>
      </w:pPr>
      <w:r>
        <w:rPr>
          <w:color w:val="374151"/>
          <w:sz w:val="22"/>
          <w:szCs w:val="22"/>
          <w:rFonts w:ascii="Calibri" w:cs="Calibri" w:eastAsia="Calibri" w:hAnsi="Calibri"/>
        </w:rPr>
        <w:t xml:space="preserve">Sistemas não inventariados são considerados não autorizados (rogue assets) e devem ser investigados imediatamente</w:t>
      </w:r>
    </w:p>
    <w:p>
      <w:pPr>
        <w:pStyle w:val="Heading2"/>
        <w:spacing w:before="320" w:after="160"/>
      </w:pPr>
      <w:r>
        <w:rPr>
          <w:b/>
          <w:bCs/>
          <w:color w:val="1e3a8a"/>
          <w:sz w:val="28"/>
          <w:szCs w:val="28"/>
          <w:rFonts w:ascii="Calibri" w:cs="Calibri" w:eastAsia="Calibri" w:hAnsi="Calibri"/>
        </w:rPr>
        <w:t xml:space="preserve">12.2 Histórico de Alterações</w:t>
      </w:r>
    </w:p>
    <w:p>
      <w:pPr>
        <w:pStyle w:val="ListParagraph"/>
        <w:numPr>
          <w:ilvl w:val="0"/>
          <w:numId w:val="1"/>
        </w:numPr>
        <w:spacing w:after="80"/>
      </w:pPr>
      <w:r>
        <w:rPr>
          <w:color w:val="374151"/>
          <w:sz w:val="22"/>
          <w:szCs w:val="22"/>
          <w:rFonts w:ascii="Calibri" w:cs="Calibri" w:eastAsia="Calibri" w:hAnsi="Calibri"/>
        </w:rPr>
        <w:t xml:space="preserve">Todas as alterações relevantes a sistemas (patches, upgrades, alterações de configuração) devem ser registadas</w:t>
      </w:r>
    </w:p>
    <w:p>
      <w:pPr>
        <w:pStyle w:val="ListParagraph"/>
        <w:numPr>
          <w:ilvl w:val="0"/>
          <w:numId w:val="1"/>
        </w:numPr>
        <w:spacing w:after="80"/>
      </w:pPr>
      <w:r>
        <w:rPr>
          <w:color w:val="374151"/>
          <w:sz w:val="22"/>
          <w:szCs w:val="22"/>
          <w:rFonts w:ascii="Calibri" w:cs="Calibri" w:eastAsia="Calibri" w:hAnsi="Calibri"/>
        </w:rPr>
        <w:t xml:space="preserve">O registo deve incluir: data, sistema, natureza da alteração, quem efetuou, quem aprovou, resultado</w:t>
      </w:r>
    </w:p>
    <w:p>
      <w:pPr>
        <w:pStyle w:val="ListParagraph"/>
        <w:numPr>
          <w:ilvl w:val="0"/>
          <w:numId w:val="1"/>
        </w:numPr>
        <w:spacing w:after="80"/>
      </w:pPr>
      <w:r>
        <w:rPr>
          <w:color w:val="374151"/>
          <w:sz w:val="22"/>
          <w:szCs w:val="22"/>
          <w:rFonts w:ascii="Calibri" w:cs="Calibri" w:eastAsia="Calibri" w:hAnsi="Calibri"/>
        </w:rPr>
        <w:t xml:space="preserve">Os registos devem ser conservados por um mínimo de 5 anos</w:t>
      </w:r>
    </w:p>
    <w:p>
      <w:pPr>
        <w:pStyle w:val="ListParagraph"/>
        <w:numPr>
          <w:ilvl w:val="0"/>
          <w:numId w:val="1"/>
        </w:numPr>
        <w:spacing w:after="80"/>
      </w:pPr>
      <w:r>
        <w:rPr>
          <w:color w:val="374151"/>
          <w:sz w:val="22"/>
          <w:szCs w:val="22"/>
          <w:rFonts w:ascii="Calibri" w:cs="Calibri" w:eastAsia="Calibri" w:hAnsi="Calibri"/>
        </w:rPr>
        <w:t xml:space="preserve">O histórico de alterações é parte integrante da evidência de conformidade com o DL 125/2025</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Política de Aquisição, Desenvolvimento e Manutenção de Sistemas TIC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2026-03-18T13:34:03.495Z</dcterms:created>
  <dcterms:modified xsi:type="dcterms:W3CDTF">2026-03-18T13:34:03.495Z</dcterms:modified>
</cp:coreProperties>
</file>

<file path=docProps/custom.xml><?xml version="1.0" encoding="utf-8"?>
<Properties xmlns="http://schemas.openxmlformats.org/officeDocument/2006/custom-properties" xmlns:vt="http://schemas.openxmlformats.org/officeDocument/2006/docPropsVTypes"/>
</file>