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Política de utilização de dispositivos pessoais (BYOD)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política define os requisitos de segurança para a utilização de dispositivos pessoais dos colaboradores (Bring Your Own Device — BYOD) para acesso a sistemas, dados e serviços da organização. O objetivo é permitir a flexibilidade operacional do trabalho remoto e híbrido, mantendo um nível adequado de segurança dos dados e sistemas corporativos.</w:t>
      </w:r>
    </w:p>
    <w:p>
      <w:r>
        <w:rPr>
          <w:color w:val="374151"/>
          <w:sz w:val="22"/>
        </w:rPr>
        <w:t>Esta política aplica-se a todos os colaboradores, prestadores de serviços e parceiros que acedam a sistemas ou dados da organização através de dispositivos pessoais, incluindo smartphones, tablets e computadores portáteis pessoais. O cumprimento desta política é condição obrigatória para a autorização de acesso através de dispositivos pessoais, em conformidade com o Art. 27.º alínea e) do DL 125/2025.</w:t>
      </w:r>
    </w:p>
    <w:p>
      <w:pPr>
        <w:pStyle w:val="Heading1"/>
      </w:pPr>
      <w:r>
        <w:rPr>
          <w:b/>
          <w:color w:val="1E3A8A"/>
          <w:sz w:val="32"/>
        </w:rPr>
        <w:t>2. Dispositivos permitidos</w:t>
      </w:r>
    </w:p>
    <w:p>
      <w:r>
        <w:rPr>
          <w:color w:val="374151"/>
          <w:sz w:val="22"/>
        </w:rPr>
        <w:t>Apenas os dispositivos que cumpram os requisitos mínimos definidos nesta política são autorizados a aceder a sistemas e dados corporativos. A autorização é concedida pelo departamento de TI após verificação do cumprimento dos requisitos e registo do dispositivo no inventário de ativos.</w:t>
      </w:r>
    </w:p>
    <w:p>
      <w:pPr>
        <w:pStyle w:val="ListParagraph"/>
      </w:pPr>
      <w:r>
        <w:rPr>
          <w:color w:val="374151"/>
          <w:sz w:val="22"/>
        </w:rPr>
        <w:t>Smartphones e tablets: iOS 16 ou superior, Android 12 ou superior. Dispositivos com root (Android) ou jailbreak (iOS) são expressamente proibidos.</w:t>
      </w:r>
    </w:p>
    <w:p>
      <w:pPr>
        <w:pStyle w:val="ListParagraph"/>
      </w:pPr>
      <w:r>
        <w:rPr>
          <w:color w:val="374151"/>
          <w:sz w:val="22"/>
        </w:rPr>
        <w:t>Computadores portáteis: Windows 10/11 (totalmente atualizado), macOS 13 ou superior. Linux apenas para utilizadores técnicos autorizados e com aprovação do CISO.</w:t>
      </w:r>
    </w:p>
    <w:p>
      <w:pPr>
        <w:pStyle w:val="ListParagraph"/>
      </w:pPr>
      <w:r>
        <w:rPr>
          <w:color w:val="374151"/>
          <w:sz w:val="22"/>
        </w:rPr>
        <w:t>Dispositivos excluídos: dispositivos com sistemas operativos sem suporte do fabricante, dispositivos com ecrã partido ou sem funcionalidade de bloqueio, dispositivos partilhados com terceiros.</w:t>
      </w:r>
    </w:p>
    <w:p>
      <w:pPr>
        <w:pStyle w:val="Heading1"/>
      </w:pPr>
      <w:r>
        <w:rPr>
          <w:b/>
          <w:color w:val="1E3A8A"/>
          <w:sz w:val="32"/>
        </w:rPr>
        <w:t>3. Requisitos de segurança</w:t>
      </w:r>
    </w:p>
    <w:p>
      <w:r>
        <w:rPr>
          <w:color w:val="374151"/>
          <w:sz w:val="22"/>
        </w:rPr>
        <w:t>O colaborador é responsável por garantir que o dispositivo pessoal cumpre todos os requisitos de segurança definidos, antes e durante o período de autorização BYOD. O incumprimento pode resultar na revogação imediata do acesso.</w:t>
      </w:r>
    </w:p>
    <w:p>
      <w:pPr>
        <w:pStyle w:val="ListParagraph"/>
      </w:pPr>
      <w:r>
        <w:rPr>
          <w:color w:val="374151"/>
          <w:sz w:val="22"/>
        </w:rPr>
        <w:t>MDM (Mobile Device Management): instalação obrigatória do cliente MDM da organização, que permite a gestão remota de políticas de segurança e a limpeza remota de dados corporativos em caso de perda ou roubo. O MDM acede apenas ao perfil corporativo, sem monitorizar dados pessoais.</w:t>
      </w:r>
    </w:p>
    <w:p>
      <w:pPr>
        <w:pStyle w:val="ListParagraph"/>
      </w:pPr>
      <w:r>
        <w:rPr>
          <w:color w:val="374151"/>
          <w:sz w:val="22"/>
        </w:rPr>
        <w:t>Encriptação: ativação obrigatória de encriptação do dispositivo (BitLocker em Windows, FileVault em macOS, encriptação nativa em iOS/Android). Verificado automaticamente pelo MDM.</w:t>
      </w:r>
    </w:p>
    <w:p>
      <w:pPr>
        <w:pStyle w:val="ListParagraph"/>
      </w:pPr>
      <w:r>
        <w:rPr>
          <w:color w:val="374151"/>
          <w:sz w:val="22"/>
        </w:rPr>
        <w:t>Autenticação multifator (MFA): obrigatório em todos os acessos a sistemas corporativos. Utilizar a app autenticadora da organização ou chave de segurança física FIDO2.</w:t>
      </w:r>
    </w:p>
    <w:p>
      <w:pPr>
        <w:pStyle w:val="ListParagraph"/>
      </w:pPr>
      <w:r>
        <w:rPr>
          <w:color w:val="374151"/>
          <w:sz w:val="22"/>
        </w:rPr>
        <w:t>Solução de segurança: instalar e manter ativa a solução de endpoint security aprovada pela organização (antivírus, EDR) ou verificar equivalência da solução pessoal instalada.</w:t>
      </w:r>
    </w:p>
    <w:p>
      <w:pPr>
        <w:pStyle w:val="ListParagraph"/>
      </w:pPr>
      <w:r>
        <w:rPr>
          <w:color w:val="374151"/>
          <w:sz w:val="22"/>
        </w:rPr>
        <w:t>Atualizações: o sistema operativo e as aplicações corporativas devem estar atualizados. O MDM pode bloquear o acesso a dispositivos com atualizações de segurança em atraso superior a 30 dias.</w:t>
      </w:r>
    </w:p>
    <w:p>
      <w:pPr>
        <w:pStyle w:val="Heading1"/>
      </w:pPr>
      <w:r>
        <w:rPr>
          <w:b/>
          <w:color w:val="1E3A8A"/>
          <w:sz w:val="32"/>
        </w:rPr>
        <w:t>4. Dados corporativos</w:t>
      </w:r>
    </w:p>
    <w:p>
      <w:r>
        <w:rPr>
          <w:color w:val="374151"/>
          <w:sz w:val="22"/>
        </w:rPr>
        <w:t>O tratamento de dados corporativos em dispositivos pessoais é sujeito a restrições específicas, destinadas a garantir a confidencialidade e integridade da informação da organização. O colaborador aceita estas restrições como condição de utilização do programa BYOD.</w:t>
      </w:r>
    </w:p>
    <w:p>
      <w:pPr>
        <w:pStyle w:val="ListParagraph"/>
      </w:pPr>
      <w:r>
        <w:rPr>
          <w:color w:val="374151"/>
          <w:sz w:val="22"/>
        </w:rPr>
        <w:t>Armazenamento: os dados corporativos devem ser armazenados exclusivamente nos sistemas e plataformas autorizadas pela organização (OneDrive, SharePoint, Google Drive corporativo). É proibido armazenar dados corporativos em plataformas pessoais (Dropbox pessoal, Google Drive pessoal, iCloud pessoal).</w:t>
      </w:r>
    </w:p>
    <w:p>
      <w:pPr>
        <w:pStyle w:val="ListParagraph"/>
      </w:pPr>
      <w:r>
        <w:rPr>
          <w:color w:val="374151"/>
          <w:sz w:val="22"/>
        </w:rPr>
        <w:t>Transmissão: utilizar apenas redes de confiança ou VPN corporativa para aceder e transmitir dados corporativos. É proibido aceder a sistemas corporativos através de redes Wi-Fi públicas sem VPN ativa.</w:t>
      </w:r>
    </w:p>
    <w:p>
      <w:pPr>
        <w:pStyle w:val="ListParagraph"/>
      </w:pPr>
      <w:r>
        <w:rPr>
          <w:color w:val="374151"/>
          <w:sz w:val="22"/>
        </w:rPr>
        <w:t>Dados sensíveis: dados classificados como confidenciais ou restritos não devem ser processados em dispositivos BYOD, salvo autorização expressa do CISO para situações específicas e devidamente documentadas.</w:t>
      </w:r>
    </w:p>
    <w:p>
      <w:pPr>
        <w:pStyle w:val="Heading1"/>
      </w:pPr>
      <w:r>
        <w:rPr>
          <w:b/>
          <w:color w:val="1E3A8A"/>
          <w:sz w:val="32"/>
        </w:rPr>
        <w:t>5. Separação pessoal e profissional</w:t>
      </w:r>
    </w:p>
    <w:p>
      <w:r>
        <w:rPr>
          <w:color w:val="374151"/>
          <w:sz w:val="22"/>
        </w:rPr>
        <w:t>A solução MDM adotada garante uma separação técnica entre o perfil pessoal e o perfil corporativo do dispositivo, assegurando que a organização não tem acesso a dados pessoais do colaborador (fotos, mensagens pessoais, aplicações pessoais) e que os dados corporativos estão protegidos de aplicações pessoais.</w:t>
      </w:r>
    </w:p>
    <w:p>
      <w:r>
        <w:rPr>
          <w:color w:val="374151"/>
          <w:sz w:val="22"/>
        </w:rPr>
        <w:t>O colaborador deve manter esta separação na sua prática diária, evitando copiar dados corporativos para o perfil pessoal e vice-versa. A mistura de dados pessoais e corporativos compromete a proteção de ambos e pode ter implicações legais ao abrigo do RGPD.</w:t>
      </w:r>
    </w:p>
    <w:p>
      <w:pPr>
        <w:pStyle w:val="Heading1"/>
      </w:pPr>
      <w:r>
        <w:rPr>
          <w:b/>
          <w:color w:val="1E3A8A"/>
          <w:sz w:val="32"/>
        </w:rPr>
        <w:t>6. Perda, roubo e saída do colaborador</w:t>
      </w:r>
    </w:p>
    <w:p>
      <w:r>
        <w:rPr>
          <w:color w:val="374151"/>
          <w:sz w:val="22"/>
        </w:rPr>
        <w:t>Em caso de perda ou roubo do dispositivo pessoal, o colaborador deve comunicar imediatamente ao departamento de TI (máximo 4 horas após a descoberta), para que seja realizada a limpeza remota dos dados corporativos através do MDM. A limpeza remota remove apenas os dados do perfil corporativo, sem afetar dados pessoais.</w:t>
      </w:r>
    </w:p>
    <w:p>
      <w:r>
        <w:rPr>
          <w:color w:val="374151"/>
          <w:sz w:val="22"/>
        </w:rPr>
        <w:t>Em caso de saída da organização (por qualquer motivo), o departamento de TI procederá à remoção do perfil corporativo e do cliente MDM do dispositivo pessoal, garantindo que todos os dados corporativos são eliminados. O colaborador tem a opção de solicitar a remoção manual, sendo verificada pelo departamento de TI. Após a saída, o acesso BYOD é revogado imediatamente, no mesmo processo de offboarding que revoga todos os outros acessos.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Recursos Humanos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TI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