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p>
    <w:p>
      <w:pPr>
        <w:jc w:val="center"/>
      </w:pPr>
      <w:r>
        <w:rPr>
          <w:color w:val="9CA3AF"/>
          <w:sz w:val="22"/>
        </w:rPr>
        <w:t>[Nome da organização]</w:t>
      </w:r>
    </w:p>
    <w:p>
      <w:pPr>
        <w:jc w:val="center"/>
      </w:pPr>
      <w:r>
        <w:rPr>
          <w:b/>
          <w:color w:val="1E3A8A"/>
          <w:sz w:val="28"/>
        </w:rPr>
        <w:t>Política de gestão de patches NIS2</w:t>
      </w:r>
    </w:p>
    <w:p>
      <w:pPr>
        <w:jc w:val="center"/>
      </w:pPr>
      <w:r>
        <w:rPr>
          <w:color w:val="374151"/>
          <w:sz w:val="22"/>
        </w:rPr>
        <w:t>Conformidade com o Decreto-Lei n.º 125/2025 (NIS2)</w:t>
      </w:r>
    </w:p>
    <w:p>
      <w:pPr>
        <w:jc w:val="center"/>
      </w:pPr>
      <w:r>
        <w:rPr>
          <w:b/>
          <w:color w:val="374151"/>
          <w:sz w:val="22"/>
        </w:rPr>
        <w:t xml:space="preserve">Versão: </w:t>
      </w:r>
      <w:r>
        <w:rPr>
          <w:color w:val="374151"/>
          <w:sz w:val="22"/>
        </w:rPr>
        <w:t>1.0</w:t>
      </w:r>
    </w:p>
    <w:p>
      <w:pPr>
        <w:jc w:val="center"/>
      </w:pPr>
      <w:r>
        <w:rPr>
          <w:b/>
          <w:color w:val="374151"/>
          <w:sz w:val="22"/>
        </w:rPr>
        <w:t xml:space="preserve">Data: </w:t>
      </w:r>
      <w:r>
        <w:rPr>
          <w:color w:val="374151"/>
          <w:sz w:val="22"/>
        </w:rPr>
        <w:t>09/04/2026</w:t>
      </w:r>
    </w:p>
    <w:p>
      <w:pPr>
        <w:jc w:val="center"/>
      </w:pPr>
      <w:r>
        <w:rPr>
          <w:b/>
          <w:color w:val="374151"/>
          <w:sz w:val="22"/>
        </w:rPr>
        <w:t xml:space="preserve">Classificação: </w:t>
      </w:r>
      <w:r>
        <w:rPr>
          <w:b/>
          <w:color w:val="DC2626"/>
          <w:sz w:val="22"/>
        </w:rPr>
        <w:t>Confidencial</w:t>
      </w:r>
    </w:p>
    <w:p/>
    <w:p>
      <w:pPr>
        <w:pStyle w:val="Heading1"/>
      </w:pPr>
      <w:r>
        <w:rPr>
          <w:b/>
          <w:color w:val="1E3A8A"/>
          <w:sz w:val="32"/>
        </w:rPr>
        <w:t>1. Objetivo e âmbito</w:t>
      </w:r>
    </w:p>
    <w:p>
      <w:r>
        <w:rPr>
          <w:color w:val="374151"/>
          <w:sz w:val="22"/>
        </w:rPr>
        <w:t>A presente política define o processo de identificação, avaliação, teste e aplicação de patches de segurança em todos os sistemas de informação da organização. A gestão de patches é uma das medidas de segurança mais críticas e eficazes para prevenir a exploração de vulnerabilidades conhecidas, que continuam a ser o vetor de ataque mais frequentemente utilizado em ciberataques bem-sucedidos contra organizações de todos os sectores.</w:t>
      </w:r>
    </w:p>
    <w:p>
      <w:r>
        <w:rPr>
          <w:color w:val="374151"/>
          <w:sz w:val="22"/>
        </w:rPr>
        <w:t>Em conformidade com o Art. 27.º alíneas d) e e) do Decreto-Lei n.º 125/2025, as organizações abrangidas pela NIS2 têm a obrigação de implementar medidas de segurança na aquisição, desenvolvimento e manutenção de sistemas, incluindo a gestão e divulgação de vulnerabilidades. A aplicação atempada de patches constitui um requisito fundamental para cumprir estas obrigações e reduzir a exposição da organização a riscos de segurança conhecidos e publicamente divulgados.</w:t>
      </w:r>
    </w:p>
    <w:p>
      <w:r>
        <w:rPr>
          <w:color w:val="374151"/>
          <w:sz w:val="22"/>
        </w:rPr>
        <w:t>Esta política aplica-se a todos os sistemas de informação e tecnologias da organização, independentemente da sua localização ou forma de implementação. O âmbito inclui servidores físicos e virtuais (Windows, Linux, Unix), endpoints (computadores, laptops, tablets), dispositivos de rede (routers, switches, firewalls, access points), aplicações de negócio e sistemas de gestão, firmware de equipamentos, plataformas e serviços em cloud, e sistemas operativos e aplicações em dispositivos móveis.</w:t>
      </w:r>
    </w:p>
    <w:p>
      <w:r>
        <w:rPr>
          <w:color w:val="374151"/>
          <w:sz w:val="22"/>
        </w:rPr>
        <w:t>A presente política é de cumprimento obrigatório para todos os colaboradores, prestadores de serviços e parceiros com responsabilidades na administração ou manutenção de sistemas de informação da organização. O incumprimento desta política pode resultar em sanções disciplinares e em responsabilidade perante o CNCS, nos termos do Art. 52.º do DL 125/2025.</w:t>
      </w:r>
    </w:p>
    <w:p>
      <w:pPr>
        <w:pStyle w:val="Heading1"/>
      </w:pPr>
      <w:r>
        <w:rPr>
          <w:b/>
          <w:color w:val="1E3A8A"/>
          <w:sz w:val="32"/>
        </w:rPr>
        <w:t>2. Enquadramento legal</w:t>
      </w:r>
    </w:p>
    <w:p>
      <w:r>
        <w:rPr>
          <w:color w:val="374151"/>
          <w:sz w:val="22"/>
        </w:rPr>
        <w:t>A gestão de patches enquadra-se nas seguintes disposições legais e normativas:</w:t>
      </w:r>
    </w:p>
    <w:p>
      <w:pPr>
        <w:pStyle w:val="ListParagraph"/>
      </w:pPr>
      <w:r>
        <w:rPr>
          <w:color w:val="374151"/>
          <w:sz w:val="22"/>
        </w:rPr>
        <w:t>Art. 27.º alínea d) do DL 125/2025 — segurança na aquisição, no desenvolvimento e na manutenção de redes e sistemas de informação, incluindo o tratamento e a divulgação de vulnerabilidades.</w:t>
      </w:r>
    </w:p>
    <w:p>
      <w:pPr>
        <w:pStyle w:val="ListParagraph"/>
      </w:pPr>
      <w:r>
        <w:rPr>
          <w:color w:val="374151"/>
          <w:sz w:val="22"/>
        </w:rPr>
        <w:t>Art. 27.º alínea e) do DL 125/2025 — políticas e procedimentos para avaliar a eficácia das medidas de gestão de riscos de cibersegurança, incluindo a gestão de vulnerabilidades.</w:t>
      </w:r>
    </w:p>
    <w:p>
      <w:pPr>
        <w:pStyle w:val="ListParagraph"/>
      </w:pPr>
      <w:r>
        <w:rPr>
          <w:color w:val="374151"/>
          <w:sz w:val="22"/>
        </w:rPr>
        <w:t>Art. 21.º n.º 2 alínea e) da Diretiva NIS2 — políticas e procedimentos de avaliação da eficácia das medidas de gestão de riscos de cibersegurança.</w:t>
      </w:r>
    </w:p>
    <w:p>
      <w:pPr>
        <w:pStyle w:val="ListParagraph"/>
      </w:pPr>
      <w:r>
        <w:rPr>
          <w:color w:val="374151"/>
          <w:sz w:val="22"/>
        </w:rPr>
        <w:t>Art. 28.º do DL 125/2025 — proporcionalidade das medidas de segurança, que deve ter em conta o estado da arte, incluindo as melhores práticas de gestão de vulnerabilidades.</w:t>
      </w:r>
    </w:p>
    <w:p>
      <w:pPr>
        <w:pStyle w:val="ListParagraph"/>
      </w:pPr>
      <w:r>
        <w:rPr>
          <w:color w:val="374151"/>
          <w:sz w:val="22"/>
        </w:rPr>
        <w:t>ISO/IEC 27001:2022 Controlo 8.8 — gestão de vulnerabilidades técnicas, que estabelece a necessidade de identificar, avaliar e corrigir vulnerabilidades técnicas de forma atempada.</w:t>
      </w:r>
    </w:p>
    <w:p>
      <w:r>
        <w:rPr>
          <w:color w:val="374151"/>
          <w:sz w:val="22"/>
        </w:rPr>
        <w:t>O CNCS pode solicitar evidências do processo de gestão de patches durante atividades de supervisão ou na sequência de um incidente de segurança. A ausência de uma política documentada e de registos de aplicação de patches pode constituir agravante no âmbito de um processo sancionatório, nos termos do Art. 52.º e seguintes do DL 125/2025.</w:t>
      </w:r>
    </w:p>
    <w:p>
      <w:pPr>
        <w:pStyle w:val="Heading1"/>
      </w:pPr>
      <w:r>
        <w:rPr>
          <w:b/>
          <w:color w:val="1E3A8A"/>
          <w:sz w:val="32"/>
        </w:rPr>
        <w:t>3. Âmbito de aplicação</w:t>
      </w:r>
    </w:p>
    <w:p>
      <w:r>
        <w:rPr>
          <w:color w:val="374151"/>
          <w:sz w:val="22"/>
        </w:rPr>
        <w:t>A presente política aplica-se aos seguintes tipos de sistemas e tecnologias, ordenados por criticidade decrescente:</w:t>
      </w:r>
    </w:p>
    <w:p>
      <w:pPr>
        <w:pStyle w:val="ListParagraph"/>
      </w:pPr>
      <w:r>
        <w:rPr>
          <w:color w:val="374151"/>
          <w:sz w:val="22"/>
        </w:rPr>
        <w:t>Infraestrutura crítica de rede: firewalls, routers core, switches de distribuição, sistemas de deteção de intrusões, balanceadores de carga e concentradores VPN.</w:t>
      </w:r>
    </w:p>
    <w:p>
      <w:pPr>
        <w:pStyle w:val="ListParagraph"/>
      </w:pPr>
      <w:r>
        <w:rPr>
          <w:color w:val="374151"/>
          <w:sz w:val="22"/>
        </w:rPr>
        <w:t>Servidores de produção críticos: servidores que suportam serviços essenciais, bases de dados com dados sensíveis, servidores de autenticação (Active Directory, LDAP) e servidores de email.</w:t>
      </w:r>
    </w:p>
    <w:p>
      <w:pPr>
        <w:pStyle w:val="ListParagraph"/>
      </w:pPr>
      <w:r>
        <w:rPr>
          <w:color w:val="374151"/>
          <w:sz w:val="22"/>
        </w:rPr>
        <w:t>Endpoints de utilizadores: computadores e laptops de todos os colaboradores, independentemente do sistema operativo (Windows, macOS, Linux).</w:t>
      </w:r>
    </w:p>
    <w:p>
      <w:pPr>
        <w:pStyle w:val="ListParagraph"/>
      </w:pPr>
      <w:r>
        <w:rPr>
          <w:color w:val="374151"/>
          <w:sz w:val="22"/>
        </w:rPr>
        <w:t>Sistemas em cloud: instâncias IaaS, serviços PaaS geridos pela organização, contentores e orquestradores (Kubernetes), e funções serverless.</w:t>
      </w:r>
    </w:p>
    <w:p>
      <w:pPr>
        <w:pStyle w:val="ListParagraph"/>
      </w:pPr>
      <w:r>
        <w:rPr>
          <w:color w:val="374151"/>
          <w:sz w:val="22"/>
        </w:rPr>
        <w:t>Aplicações de negócio: aplicações web, APIs, sistemas ERP/CRM, e qualquer software desenvolvido internamente ou por terceiros que processe dados da organização.</w:t>
      </w:r>
    </w:p>
    <w:p>
      <w:pPr>
        <w:pStyle w:val="ListParagraph"/>
      </w:pPr>
      <w:r>
        <w:rPr>
          <w:color w:val="374151"/>
          <w:sz w:val="22"/>
        </w:rPr>
        <w:t>Firmware de equipamentos: firmware de equipamentos de rede, UPS, sistemas de controlo de acesso físico e outros dispositivos IoT/OT com interfaces de rede.</w:t>
      </w:r>
    </w:p>
    <w:p>
      <w:pPr>
        <w:pStyle w:val="Heading1"/>
      </w:pPr>
      <w:r>
        <w:rPr>
          <w:b/>
          <w:color w:val="1E3A8A"/>
          <w:sz w:val="32"/>
        </w:rPr>
        <w:t>4. Classificação de patches e SLAs</w:t>
      </w:r>
    </w:p>
    <w:p>
      <w:r>
        <w:rPr>
          <w:color w:val="374151"/>
          <w:sz w:val="22"/>
        </w:rPr>
        <w:t>A aplicação de patches é priorizada em função da gravidade da vulnerabilidade corrigida, conforme o sistema de pontuação CVSS (Common Vulnerability Scoring System). Os SLAs definem o prazo máximo de aplicação de cada patch a partir da data de disponibilização pelo fabricante:</w:t>
      </w:r>
    </w:p>
    <w:tbl>
      <w:tblPr>
        <w:tblStyle w:val="TableGrid"/>
        <w:tblW w:type="auto" w:w="0"/>
        <w:tblLook w:firstColumn="1" w:firstRow="1" w:lastColumn="0" w:lastRow="0" w:noHBand="0" w:noVBand="1" w:val="04A0"/>
      </w:tblPr>
      <w:tblGrid>
        <w:gridCol w:w="1881"/>
        <w:gridCol w:w="1881"/>
        <w:gridCol w:w="1881"/>
        <w:gridCol w:w="1881"/>
        <w:gridCol w:w="1881"/>
      </w:tblGrid>
      <w:tr>
        <w:tc>
          <w:tcPr>
            <w:tcW w:type="dxa" w:w="1881"/>
            <w:shd w:color="1e3a8a" w:val="solid"/>
            <w:vAlign w:val="center"/>
          </w:tcPr>
          <w:p>
            <w:pPr>
              <w:jc w:val="center"/>
            </w:pPr>
            <w:r/>
            <w:r>
              <w:rPr>
                <w:b/>
                <w:color w:val="FFFFFF"/>
                <w:sz w:val="22"/>
              </w:rPr>
              <w:t>Classificação</w:t>
            </w:r>
          </w:p>
        </w:tc>
        <w:tc>
          <w:tcPr>
            <w:tcW w:type="dxa" w:w="1881"/>
            <w:shd w:color="1e3a8a" w:val="solid"/>
            <w:vAlign w:val="center"/>
          </w:tcPr>
          <w:p>
            <w:pPr>
              <w:jc w:val="center"/>
            </w:pPr>
            <w:r/>
            <w:r>
              <w:rPr>
                <w:b/>
                <w:color w:val="FFFFFF"/>
                <w:sz w:val="22"/>
              </w:rPr>
              <w:t>Score CVSS</w:t>
            </w:r>
          </w:p>
        </w:tc>
        <w:tc>
          <w:tcPr>
            <w:tcW w:type="dxa" w:w="1881"/>
            <w:shd w:color="1e3a8a" w:val="solid"/>
            <w:vAlign w:val="center"/>
          </w:tcPr>
          <w:p>
            <w:pPr>
              <w:jc w:val="center"/>
            </w:pPr>
            <w:r/>
            <w:r>
              <w:rPr>
                <w:b/>
                <w:color w:val="FFFFFF"/>
                <w:sz w:val="22"/>
              </w:rPr>
              <w:t>Prazo máximo</w:t>
            </w:r>
          </w:p>
        </w:tc>
        <w:tc>
          <w:tcPr>
            <w:tcW w:type="dxa" w:w="1881"/>
            <w:shd w:color="1e3a8a" w:val="solid"/>
            <w:vAlign w:val="center"/>
          </w:tcPr>
          <w:p>
            <w:pPr>
              <w:jc w:val="center"/>
            </w:pPr>
            <w:r/>
            <w:r>
              <w:rPr>
                <w:b/>
                <w:color w:val="FFFFFF"/>
                <w:sz w:val="22"/>
              </w:rPr>
              <w:t>Exemplos</w:t>
            </w:r>
          </w:p>
        </w:tc>
        <w:tc>
          <w:tcPr>
            <w:tcW w:type="dxa" w:w="1881"/>
            <w:shd w:color="1e3a8a" w:val="solid"/>
            <w:vAlign w:val="center"/>
          </w:tcPr>
          <w:p>
            <w:pPr>
              <w:jc w:val="center"/>
            </w:pPr>
            <w:r/>
            <w:r>
              <w:rPr>
                <w:b/>
                <w:color w:val="FFFFFF"/>
                <w:sz w:val="22"/>
              </w:rPr>
              <w:t>Responsável</w:t>
            </w:r>
          </w:p>
        </w:tc>
      </w:tr>
      <w:tr>
        <w:tc>
          <w:tcPr>
            <w:tcW w:type="dxa" w:w="1881"/>
          </w:tcPr>
          <w:p>
            <w:r/>
            <w:r>
              <w:rPr>
                <w:color w:val="374151"/>
                <w:sz w:val="22"/>
              </w:rPr>
              <w:t>Crítico</w:t>
            </w:r>
          </w:p>
        </w:tc>
        <w:tc>
          <w:tcPr>
            <w:tcW w:type="dxa" w:w="1881"/>
          </w:tcPr>
          <w:p>
            <w:r/>
            <w:r>
              <w:rPr>
                <w:color w:val="374151"/>
                <w:sz w:val="22"/>
              </w:rPr>
              <w:t>9.0 a 10.0</w:t>
            </w:r>
          </w:p>
        </w:tc>
        <w:tc>
          <w:tcPr>
            <w:tcW w:type="dxa" w:w="1881"/>
          </w:tcPr>
          <w:p>
            <w:r/>
            <w:r>
              <w:rPr>
                <w:color w:val="374151"/>
                <w:sz w:val="22"/>
              </w:rPr>
              <w:t>24 a 48 horas</w:t>
            </w:r>
          </w:p>
        </w:tc>
        <w:tc>
          <w:tcPr>
            <w:tcW w:type="dxa" w:w="1881"/>
          </w:tcPr>
          <w:p>
            <w:r/>
            <w:r>
              <w:rPr>
                <w:color w:val="374151"/>
                <w:sz w:val="22"/>
              </w:rPr>
              <w:t>Zero-days explorados ativamente, vulnerabilidades CISA KEV</w:t>
            </w:r>
          </w:p>
        </w:tc>
        <w:tc>
          <w:tcPr>
            <w:tcW w:type="dxa" w:w="1881"/>
          </w:tcPr>
          <w:p>
            <w:r/>
            <w:r>
              <w:rPr>
                <w:color w:val="374151"/>
                <w:sz w:val="22"/>
              </w:rPr>
              <w:t>CISO + IT Manager</w:t>
            </w:r>
          </w:p>
        </w:tc>
      </w:tr>
      <w:tr>
        <w:tc>
          <w:tcPr>
            <w:tcW w:type="dxa" w:w="1881"/>
          </w:tcPr>
          <w:p>
            <w:r/>
            <w:r>
              <w:rPr>
                <w:color w:val="374151"/>
                <w:sz w:val="22"/>
              </w:rPr>
              <w:t>Alto</w:t>
            </w:r>
          </w:p>
        </w:tc>
        <w:tc>
          <w:tcPr>
            <w:tcW w:type="dxa" w:w="1881"/>
          </w:tcPr>
          <w:p>
            <w:r/>
            <w:r>
              <w:rPr>
                <w:color w:val="374151"/>
                <w:sz w:val="22"/>
              </w:rPr>
              <w:t>7.0 a 8.9</w:t>
            </w:r>
          </w:p>
        </w:tc>
        <w:tc>
          <w:tcPr>
            <w:tcW w:type="dxa" w:w="1881"/>
          </w:tcPr>
          <w:p>
            <w:r/>
            <w:r>
              <w:rPr>
                <w:color w:val="374151"/>
                <w:sz w:val="22"/>
              </w:rPr>
              <w:t>7 dias corridos</w:t>
            </w:r>
          </w:p>
        </w:tc>
        <w:tc>
          <w:tcPr>
            <w:tcW w:type="dxa" w:w="1881"/>
          </w:tcPr>
          <w:p>
            <w:r/>
            <w:r>
              <w:rPr>
                <w:color w:val="374151"/>
                <w:sz w:val="22"/>
              </w:rPr>
              <w:t>Remote Code Execution, escalada de privilégios sem interação</w:t>
            </w:r>
          </w:p>
        </w:tc>
        <w:tc>
          <w:tcPr>
            <w:tcW w:type="dxa" w:w="1881"/>
          </w:tcPr>
          <w:p>
            <w:r/>
            <w:r>
              <w:rPr>
                <w:color w:val="374151"/>
                <w:sz w:val="22"/>
              </w:rPr>
              <w:t>IT Manager</w:t>
            </w:r>
          </w:p>
        </w:tc>
      </w:tr>
      <w:tr>
        <w:tc>
          <w:tcPr>
            <w:tcW w:type="dxa" w:w="1881"/>
          </w:tcPr>
          <w:p>
            <w:r/>
            <w:r>
              <w:rPr>
                <w:color w:val="374151"/>
                <w:sz w:val="22"/>
              </w:rPr>
              <w:t>Médio</w:t>
            </w:r>
          </w:p>
        </w:tc>
        <w:tc>
          <w:tcPr>
            <w:tcW w:type="dxa" w:w="1881"/>
          </w:tcPr>
          <w:p>
            <w:r/>
            <w:r>
              <w:rPr>
                <w:color w:val="374151"/>
                <w:sz w:val="22"/>
              </w:rPr>
              <w:t>4.0 a 6.9</w:t>
            </w:r>
          </w:p>
        </w:tc>
        <w:tc>
          <w:tcPr>
            <w:tcW w:type="dxa" w:w="1881"/>
          </w:tcPr>
          <w:p>
            <w:r/>
            <w:r>
              <w:rPr>
                <w:color w:val="374151"/>
                <w:sz w:val="22"/>
              </w:rPr>
              <w:t>30 dias corridos</w:t>
            </w:r>
          </w:p>
        </w:tc>
        <w:tc>
          <w:tcPr>
            <w:tcW w:type="dxa" w:w="1881"/>
          </w:tcPr>
          <w:p>
            <w:r/>
            <w:r>
              <w:rPr>
                <w:color w:val="374151"/>
                <w:sz w:val="22"/>
              </w:rPr>
              <w:t>Cross-site scripting, injeção SQL com autenticação</w:t>
            </w:r>
          </w:p>
        </w:tc>
        <w:tc>
          <w:tcPr>
            <w:tcW w:type="dxa" w:w="1881"/>
          </w:tcPr>
          <w:p>
            <w:r/>
            <w:r>
              <w:rPr>
                <w:color w:val="374151"/>
                <w:sz w:val="22"/>
              </w:rPr>
              <w:t>Equipa IT</w:t>
            </w:r>
          </w:p>
        </w:tc>
      </w:tr>
      <w:tr>
        <w:tc>
          <w:tcPr>
            <w:tcW w:type="dxa" w:w="1881"/>
          </w:tcPr>
          <w:p>
            <w:r/>
            <w:r>
              <w:rPr>
                <w:color w:val="374151"/>
                <w:sz w:val="22"/>
              </w:rPr>
              <w:t>Baixo</w:t>
            </w:r>
          </w:p>
        </w:tc>
        <w:tc>
          <w:tcPr>
            <w:tcW w:type="dxa" w:w="1881"/>
          </w:tcPr>
          <w:p>
            <w:r/>
            <w:r>
              <w:rPr>
                <w:color w:val="374151"/>
                <w:sz w:val="22"/>
              </w:rPr>
              <w:t>0.1 a 3.9</w:t>
            </w:r>
          </w:p>
        </w:tc>
        <w:tc>
          <w:tcPr>
            <w:tcW w:type="dxa" w:w="1881"/>
          </w:tcPr>
          <w:p>
            <w:r/>
            <w:r>
              <w:rPr>
                <w:color w:val="374151"/>
                <w:sz w:val="22"/>
              </w:rPr>
              <w:t>90 dias corridos</w:t>
            </w:r>
          </w:p>
        </w:tc>
        <w:tc>
          <w:tcPr>
            <w:tcW w:type="dxa" w:w="1881"/>
          </w:tcPr>
          <w:p>
            <w:r/>
            <w:r>
              <w:rPr>
                <w:color w:val="374151"/>
                <w:sz w:val="22"/>
              </w:rPr>
              <w:t>Divulgação de informação limitada, bypass de funcionalidades menores</w:t>
            </w:r>
          </w:p>
        </w:tc>
        <w:tc>
          <w:tcPr>
            <w:tcW w:type="dxa" w:w="1881"/>
          </w:tcPr>
          <w:p>
            <w:r/>
            <w:r>
              <w:rPr>
                <w:color w:val="374151"/>
                <w:sz w:val="22"/>
              </w:rPr>
              <w:t>Equipa IT</w:t>
            </w:r>
          </w:p>
        </w:tc>
      </w:tr>
      <w:tr>
        <w:tc>
          <w:tcPr>
            <w:tcW w:type="dxa" w:w="1881"/>
          </w:tcPr>
          <w:p>
            <w:r/>
            <w:r>
              <w:rPr>
                <w:color w:val="374151"/>
                <w:sz w:val="22"/>
              </w:rPr>
              <w:t>Informativo</w:t>
            </w:r>
          </w:p>
        </w:tc>
        <w:tc>
          <w:tcPr>
            <w:tcW w:type="dxa" w:w="1881"/>
          </w:tcPr>
          <w:p>
            <w:r/>
            <w:r>
              <w:rPr>
                <w:color w:val="374151"/>
                <w:sz w:val="22"/>
              </w:rPr>
              <w:t>0.0</w:t>
            </w:r>
          </w:p>
        </w:tc>
        <w:tc>
          <w:tcPr>
            <w:tcW w:type="dxa" w:w="1881"/>
          </w:tcPr>
          <w:p>
            <w:r/>
            <w:r>
              <w:rPr>
                <w:color w:val="374151"/>
                <w:sz w:val="22"/>
              </w:rPr>
              <w:t>Próximo ciclo de manutenção</w:t>
            </w:r>
          </w:p>
        </w:tc>
        <w:tc>
          <w:tcPr>
            <w:tcW w:type="dxa" w:w="1881"/>
          </w:tcPr>
          <w:p>
            <w:r/>
            <w:r>
              <w:rPr>
                <w:color w:val="374151"/>
                <w:sz w:val="22"/>
              </w:rPr>
              <w:t>Melhorias de segurança sem CVE associado</w:t>
            </w:r>
          </w:p>
        </w:tc>
        <w:tc>
          <w:tcPr>
            <w:tcW w:type="dxa" w:w="1881"/>
          </w:tcPr>
          <w:p>
            <w:r/>
            <w:r>
              <w:rPr>
                <w:color w:val="374151"/>
                <w:sz w:val="22"/>
              </w:rPr>
              <w:t>Equipa IT</w:t>
            </w:r>
          </w:p>
        </w:tc>
      </w:tr>
    </w:tbl>
    <w:p/>
    <w:p>
      <w:r>
        <w:rPr>
          <w:color w:val="374151"/>
          <w:sz w:val="22"/>
        </w:rPr>
        <w:t>Para vulnerabilidades incluídas no catálogo CISA Known Exploited Vulnerabilities (KEV) ou confirmadas como exploradas ativamente pelo CERT.PT, aplicam-se os SLAs da categoria Crítico independentemente do score CVSS calculado. O CISO pode, mediante justificação documentada, reduzir os prazos standard para qualquer vulnerabilidade em função do contexto de ameaça específico.</w:t>
      </w:r>
    </w:p>
    <w:p>
      <w:pPr>
        <w:pStyle w:val="Heading1"/>
      </w:pPr>
      <w:r>
        <w:rPr>
          <w:b/>
          <w:color w:val="1E3A8A"/>
          <w:sz w:val="32"/>
        </w:rPr>
        <w:t>5. Processo de gestão de patches</w:t>
      </w:r>
    </w:p>
    <w:p>
      <w:r>
        <w:rPr>
          <w:color w:val="374151"/>
          <w:sz w:val="22"/>
        </w:rPr>
        <w:t>O processo de gestão de patches segue um ciclo estruturado de seis fases, garantindo que cada patch é avaliado, testado e implementado de forma controlada e documentada:</w:t>
      </w:r>
    </w:p>
    <w:p>
      <w:pPr>
        <w:pStyle w:val="ListParagraph"/>
      </w:pPr>
      <w:r>
        <w:rPr>
          <w:color w:val="374151"/>
          <w:sz w:val="22"/>
        </w:rPr>
        <w:t>Fase 1 — Identificação: monitorização contínua de fontes de informação de vulnerabilidades (CERT.PT, CNCS, NVD, CISA KEV, boletins de fabricantes). Análise automática com ferramentas de gestão de vulnerabilidades. Catalogação de novas vulnerabilidades relevantes para os sistemas da organização.</w:t>
      </w:r>
    </w:p>
    <w:p>
      <w:pPr>
        <w:pStyle w:val="ListParagraph"/>
      </w:pPr>
      <w:r>
        <w:rPr>
          <w:color w:val="374151"/>
          <w:sz w:val="22"/>
        </w:rPr>
        <w:t>Fase 2 — Avaliação: cálculo do score CVSS v3.1 e avaliação do impacto específico no contexto da organização (exploração ativa, criticidade do sistema afetado, existência de compensações). Determinação da prioridade e do SLA aplicável.</w:t>
      </w:r>
    </w:p>
    <w:p>
      <w:pPr>
        <w:pStyle w:val="ListParagraph"/>
      </w:pPr>
      <w:r>
        <w:rPr>
          <w:color w:val="374151"/>
          <w:sz w:val="22"/>
        </w:rPr>
        <w:t>Fase 3 — Teste: aplicação do patch em ambiente de teste/desenvolvimento. Verificação do impacto funcional em aplicações dependentes. Validação do plano de rollback. Para patches críticos, os testes devem ser concluídos em 4 horas.</w:t>
      </w:r>
    </w:p>
    <w:p>
      <w:pPr>
        <w:pStyle w:val="ListParagraph"/>
      </w:pPr>
      <w:r>
        <w:rPr>
          <w:color w:val="374151"/>
          <w:sz w:val="22"/>
        </w:rPr>
        <w:t>Fase 4 — Aprovação: aprovação formal pelo responsável de sistemas para patches de impacto médio/alto. Aprovação pelo CISO e IT Manager para patches com impacto em serviços críticos. Registo da aprovação no sistema de gestão de tickets.</w:t>
      </w:r>
    </w:p>
    <w:p>
      <w:pPr>
        <w:pStyle w:val="ListParagraph"/>
      </w:pPr>
      <w:r>
        <w:rPr>
          <w:color w:val="374151"/>
          <w:sz w:val="22"/>
        </w:rPr>
        <w:t>Fase 5 — Implementação: aplicação do patch em produção de acordo com a janela de manutenção aprovada. Para patches críticos, pode ser necessário implementar fora da janela de manutenção standard. Comunicação prévia aos utilizadores afetados.</w:t>
      </w:r>
    </w:p>
    <w:p>
      <w:pPr>
        <w:pStyle w:val="ListParagraph"/>
      </w:pPr>
      <w:r>
        <w:rPr>
          <w:color w:val="374151"/>
          <w:sz w:val="22"/>
        </w:rPr>
        <w:t>Fase 6 — Verificação: confirmação da aplicação do patch e da versão resultante. Verificação da integridade funcional dos sistemas e serviços. Atualização do inventário e registo no sistema de gestão de patches. Fecho do ticket com evidências.</w:t>
      </w:r>
    </w:p>
    <w:p>
      <w:pPr>
        <w:pStyle w:val="Heading1"/>
      </w:pPr>
      <w:r>
        <w:rPr>
          <w:b/>
          <w:color w:val="1E3A8A"/>
          <w:sz w:val="32"/>
        </w:rPr>
        <w:t>6. Fontes de informação de vulnerabilidades</w:t>
      </w:r>
    </w:p>
    <w:p>
      <w:r>
        <w:rPr>
          <w:color w:val="374151"/>
          <w:sz w:val="22"/>
        </w:rPr>
        <w:t>A equipa de segurança monitoriza as seguintes fontes de informação para identificar novas vulnerabilidades relevantes para os sistemas da organização:</w:t>
      </w:r>
    </w:p>
    <w:p>
      <w:pPr>
        <w:pStyle w:val="ListParagraph"/>
      </w:pPr>
      <w:r>
        <w:rPr>
          <w:color w:val="374151"/>
          <w:sz w:val="22"/>
        </w:rPr>
        <w:t>CERT.PT (https://www.cncs.gov.pt/pt/cert-pt/) — Centro de Resposta a Incidentes de Segurança Informática de Portugal: alertas e avisos de segurança para Portugal, adaptados ao contexto nacional.</w:t>
      </w:r>
    </w:p>
    <w:p>
      <w:pPr>
        <w:pStyle w:val="ListParagraph"/>
      </w:pPr>
      <w:r>
        <w:rPr>
          <w:color w:val="374151"/>
          <w:sz w:val="22"/>
        </w:rPr>
        <w:t>CNCS (https://www.cncs.gov.pt/) — Centro Nacional de Cibersegurança: orientações regulatórias, relatórios de ameaças e comunicações sobre vulnerabilidades de impacto nacional.</w:t>
      </w:r>
    </w:p>
    <w:p>
      <w:pPr>
        <w:pStyle w:val="ListParagraph"/>
      </w:pPr>
      <w:r>
        <w:rPr>
          <w:color w:val="374151"/>
          <w:sz w:val="22"/>
        </w:rPr>
        <w:t>NIST NVD (https://nvd.nist.gov/) — National Vulnerability Database: base de dados completa de CVEs com scores CVSS, descrições técnicas e referências a patches.</w:t>
      </w:r>
    </w:p>
    <w:p>
      <w:pPr>
        <w:pStyle w:val="ListParagraph"/>
      </w:pPr>
      <w:r>
        <w:rPr>
          <w:color w:val="374151"/>
          <w:sz w:val="22"/>
        </w:rPr>
        <w:t>CISA KEV (https://www.cisa.gov/known-exploited-vulnerabilities-catalog) — Known Exploited Vulnerabilities: lista de vulnerabilidades com exploração ativa confirmada, que requer atenção imediata.</w:t>
      </w:r>
    </w:p>
    <w:p>
      <w:pPr>
        <w:pStyle w:val="ListParagraph"/>
      </w:pPr>
      <w:r>
        <w:rPr>
          <w:color w:val="374151"/>
          <w:sz w:val="22"/>
        </w:rPr>
        <w:t>Boletins de segurança dos fabricantes: Microsoft Patch Tuesday (2.ª terça-feira de cada mês), Red Hat Security Advisories, Cisco Security Advisories, e outros fabricantes relevantes.</w:t>
      </w:r>
    </w:p>
    <w:p>
      <w:pPr>
        <w:pStyle w:val="ListParagraph"/>
      </w:pPr>
      <w:r>
        <w:rPr>
          <w:color w:val="374151"/>
          <w:sz w:val="22"/>
        </w:rPr>
        <w:t>Feeds de threat intelligence (se disponível): serviços de inteligência de ameaças específicos para o sector de atividade da organização.</w:t>
      </w:r>
    </w:p>
    <w:p>
      <w:pPr>
        <w:pStyle w:val="Heading1"/>
      </w:pPr>
      <w:r>
        <w:rPr>
          <w:b/>
          <w:color w:val="1E3A8A"/>
          <w:sz w:val="32"/>
        </w:rPr>
        <w:t>7. Exceções e controlos compensatórios</w:t>
      </w:r>
    </w:p>
    <w:p>
      <w:r>
        <w:rPr>
          <w:color w:val="374151"/>
          <w:sz w:val="22"/>
        </w:rPr>
        <w:t>Existem situações em que não é possível aplicar um patch dentro do prazo definido pelo SLA, nomeadamente em sistemas legados sem suporte do fabricante, sistemas com restrições operacionais (disponibilidade 24/7, ambiente industrial/OT), ou casos em que o patch introduz incompatibilidades com software crítico. Nestes casos, o seguinte processo de exceção aplica-se:</w:t>
      </w:r>
    </w:p>
    <w:p>
      <w:pPr>
        <w:pStyle w:val="ListParagraph"/>
      </w:pPr>
      <w:r>
        <w:rPr>
          <w:color w:val="374151"/>
          <w:sz w:val="22"/>
        </w:rPr>
        <w:t>Documentação formal da exceção: o responsável de sistemas deve documentar o motivo da impossibilidade de aplicação do patch, os sistemas afetados, o risco residual e a duração estimada da exceção.</w:t>
      </w:r>
    </w:p>
    <w:p>
      <w:pPr>
        <w:pStyle w:val="ListParagraph"/>
      </w:pPr>
      <w:r>
        <w:rPr>
          <w:color w:val="374151"/>
          <w:sz w:val="22"/>
        </w:rPr>
        <w:t>Aprovação pelo CISO: todas as exceções requerem aprovação formal do CISO, com revisão do risco residual. Exceções para vulnerabilidades críticas requerem adicionalmente aprovação do órgão de gestão.</w:t>
      </w:r>
    </w:p>
    <w:p>
      <w:pPr>
        <w:pStyle w:val="ListParagraph"/>
      </w:pPr>
      <w:r>
        <w:rPr>
          <w:color w:val="374151"/>
          <w:sz w:val="22"/>
        </w:rPr>
        <w:t>Implementação de controlos compensatórios obrigatórios: isolamento de rede do sistema vulnerável (segmentação), monitorização reforçada com alertas em tempo real, restrição de acessos ao mínimo indispensável (princípio do menor privilégio), e ativação de regras IDS/IPS específicas para a vulnerabilidade.</w:t>
      </w:r>
    </w:p>
    <w:p>
      <w:pPr>
        <w:pStyle w:val="ListParagraph"/>
      </w:pPr>
      <w:r>
        <w:rPr>
          <w:color w:val="374151"/>
          <w:sz w:val="22"/>
        </w:rPr>
        <w:t>Revisão periódica das exceções: todas as exceções ativas são revistas mensalmente pelo CISO. Cada exceção tem uma data de expiração máxima de 90 dias, renovável mediante nova aprovação.</w:t>
      </w:r>
    </w:p>
    <w:p>
      <w:pPr>
        <w:pStyle w:val="Heading1"/>
      </w:pPr>
      <w:r>
        <w:rPr>
          <w:b/>
          <w:color w:val="1E3A8A"/>
          <w:sz w:val="32"/>
        </w:rPr>
        <w:t>8. Monitorização e métricas</w:t>
      </w:r>
    </w:p>
    <w:p>
      <w:r>
        <w:rPr>
          <w:color w:val="374151"/>
          <w:sz w:val="22"/>
        </w:rPr>
        <w:t>A eficácia do processo de gestão de patches é monitorizada através dos seguintes indicadores-chave de desempenho (KPIs), reportados mensalmente ao CISO e trimestralmente ao órgão de gestão:</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color="1e3a8a" w:val="solid"/>
            <w:vAlign w:val="center"/>
          </w:tcPr>
          <w:p>
            <w:pPr>
              <w:jc w:val="center"/>
            </w:pPr>
            <w:r/>
            <w:r>
              <w:rPr>
                <w:b/>
                <w:color w:val="FFFFFF"/>
                <w:sz w:val="22"/>
              </w:rPr>
              <w:t>KPI</w:t>
            </w:r>
          </w:p>
        </w:tc>
        <w:tc>
          <w:tcPr>
            <w:tcW w:type="dxa" w:w="2351"/>
            <w:shd w:color="1e3a8a" w:val="solid"/>
            <w:vAlign w:val="center"/>
          </w:tcPr>
          <w:p>
            <w:pPr>
              <w:jc w:val="center"/>
            </w:pPr>
            <w:r/>
            <w:r>
              <w:rPr>
                <w:b/>
                <w:color w:val="FFFFFF"/>
                <w:sz w:val="22"/>
              </w:rPr>
              <w:t>Definição</w:t>
            </w:r>
          </w:p>
        </w:tc>
        <w:tc>
          <w:tcPr>
            <w:tcW w:type="dxa" w:w="2351"/>
            <w:shd w:color="1e3a8a" w:val="solid"/>
            <w:vAlign w:val="center"/>
          </w:tcPr>
          <w:p>
            <w:pPr>
              <w:jc w:val="center"/>
            </w:pPr>
            <w:r/>
            <w:r>
              <w:rPr>
                <w:b/>
                <w:color w:val="FFFFFF"/>
                <w:sz w:val="22"/>
              </w:rPr>
              <w:t>Objetivo</w:t>
            </w:r>
          </w:p>
        </w:tc>
        <w:tc>
          <w:tcPr>
            <w:tcW w:type="dxa" w:w="2351"/>
            <w:shd w:color="1e3a8a" w:val="solid"/>
            <w:vAlign w:val="center"/>
          </w:tcPr>
          <w:p>
            <w:pPr>
              <w:jc w:val="center"/>
            </w:pPr>
            <w:r/>
            <w:r>
              <w:rPr>
                <w:b/>
                <w:color w:val="FFFFFF"/>
                <w:sz w:val="22"/>
              </w:rPr>
              <w:t>Frequência de reporte</w:t>
            </w:r>
          </w:p>
        </w:tc>
      </w:tr>
      <w:tr>
        <w:tc>
          <w:tcPr>
            <w:tcW w:type="dxa" w:w="2351"/>
          </w:tcPr>
          <w:p>
            <w:r/>
            <w:r>
              <w:rPr>
                <w:color w:val="374151"/>
                <w:sz w:val="22"/>
              </w:rPr>
              <w:t>Cobertura de scanning</w:t>
            </w:r>
          </w:p>
        </w:tc>
        <w:tc>
          <w:tcPr>
            <w:tcW w:type="dxa" w:w="2351"/>
          </w:tcPr>
          <w:p>
            <w:r/>
            <w:r>
              <w:rPr>
                <w:color w:val="374151"/>
                <w:sz w:val="22"/>
              </w:rPr>
              <w:t>% de sistemas cobertos por scanning de vulnerabilidades</w:t>
            </w:r>
          </w:p>
        </w:tc>
        <w:tc>
          <w:tcPr>
            <w:tcW w:type="dxa" w:w="2351"/>
          </w:tcPr>
          <w:p>
            <w:r/>
            <w:r>
              <w:rPr>
                <w:color w:val="374151"/>
                <w:sz w:val="22"/>
              </w:rPr>
              <w:t>&gt;= 95%</w:t>
            </w:r>
          </w:p>
        </w:tc>
        <w:tc>
          <w:tcPr>
            <w:tcW w:type="dxa" w:w="2351"/>
          </w:tcPr>
          <w:p>
            <w:r/>
            <w:r>
              <w:rPr>
                <w:color w:val="374151"/>
                <w:sz w:val="22"/>
              </w:rPr>
              <w:t>Mensal</w:t>
            </w:r>
          </w:p>
        </w:tc>
      </w:tr>
      <w:tr>
        <w:tc>
          <w:tcPr>
            <w:tcW w:type="dxa" w:w="2351"/>
          </w:tcPr>
          <w:p>
            <w:r/>
            <w:r>
              <w:rPr>
                <w:color w:val="374151"/>
                <w:sz w:val="22"/>
              </w:rPr>
              <w:t>MTTR patches críticos</w:t>
            </w:r>
          </w:p>
        </w:tc>
        <w:tc>
          <w:tcPr>
            <w:tcW w:type="dxa" w:w="2351"/>
          </w:tcPr>
          <w:p>
            <w:r/>
            <w:r>
              <w:rPr>
                <w:color w:val="374151"/>
                <w:sz w:val="22"/>
              </w:rPr>
              <w:t>Tempo médio de resolução de vulnerabilidades críticas</w:t>
            </w:r>
          </w:p>
        </w:tc>
        <w:tc>
          <w:tcPr>
            <w:tcW w:type="dxa" w:w="2351"/>
          </w:tcPr>
          <w:p>
            <w:r/>
            <w:r>
              <w:rPr>
                <w:color w:val="374151"/>
                <w:sz w:val="22"/>
              </w:rPr>
              <w:t>&lt; 48 horas</w:t>
            </w:r>
          </w:p>
        </w:tc>
        <w:tc>
          <w:tcPr>
            <w:tcW w:type="dxa" w:w="2351"/>
          </w:tcPr>
          <w:p>
            <w:r/>
            <w:r>
              <w:rPr>
                <w:color w:val="374151"/>
                <w:sz w:val="22"/>
              </w:rPr>
              <w:t>Mensal</w:t>
            </w:r>
          </w:p>
        </w:tc>
      </w:tr>
      <w:tr>
        <w:tc>
          <w:tcPr>
            <w:tcW w:type="dxa" w:w="2351"/>
          </w:tcPr>
          <w:p>
            <w:r/>
            <w:r>
              <w:rPr>
                <w:color w:val="374151"/>
                <w:sz w:val="22"/>
              </w:rPr>
              <w:t>MTTR patches altos</w:t>
            </w:r>
          </w:p>
        </w:tc>
        <w:tc>
          <w:tcPr>
            <w:tcW w:type="dxa" w:w="2351"/>
          </w:tcPr>
          <w:p>
            <w:r/>
            <w:r>
              <w:rPr>
                <w:color w:val="374151"/>
                <w:sz w:val="22"/>
              </w:rPr>
              <w:t>Tempo médio de resolução de vulnerabilidades altas</w:t>
            </w:r>
          </w:p>
        </w:tc>
        <w:tc>
          <w:tcPr>
            <w:tcW w:type="dxa" w:w="2351"/>
          </w:tcPr>
          <w:p>
            <w:r/>
            <w:r>
              <w:rPr>
                <w:color w:val="374151"/>
                <w:sz w:val="22"/>
              </w:rPr>
              <w:t>&lt; 7 dias</w:t>
            </w:r>
          </w:p>
        </w:tc>
        <w:tc>
          <w:tcPr>
            <w:tcW w:type="dxa" w:w="2351"/>
          </w:tcPr>
          <w:p>
            <w:r/>
            <w:r>
              <w:rPr>
                <w:color w:val="374151"/>
                <w:sz w:val="22"/>
              </w:rPr>
              <w:t>Mensal</w:t>
            </w:r>
          </w:p>
        </w:tc>
      </w:tr>
      <w:tr>
        <w:tc>
          <w:tcPr>
            <w:tcW w:type="dxa" w:w="2351"/>
          </w:tcPr>
          <w:p>
            <w:r/>
            <w:r>
              <w:rPr>
                <w:color w:val="374151"/>
                <w:sz w:val="22"/>
              </w:rPr>
              <w:t>% sistemas atualizados</w:t>
            </w:r>
          </w:p>
        </w:tc>
        <w:tc>
          <w:tcPr>
            <w:tcW w:type="dxa" w:w="2351"/>
          </w:tcPr>
          <w:p>
            <w:r/>
            <w:r>
              <w:rPr>
                <w:color w:val="374151"/>
                <w:sz w:val="22"/>
              </w:rPr>
              <w:t>% de sistemas sem vulnerabilidades críticas/altas abertas</w:t>
            </w:r>
          </w:p>
        </w:tc>
        <w:tc>
          <w:tcPr>
            <w:tcW w:type="dxa" w:w="2351"/>
          </w:tcPr>
          <w:p>
            <w:r/>
            <w:r>
              <w:rPr>
                <w:color w:val="374151"/>
                <w:sz w:val="22"/>
              </w:rPr>
              <w:t>&gt;= 90%</w:t>
            </w:r>
          </w:p>
        </w:tc>
        <w:tc>
          <w:tcPr>
            <w:tcW w:type="dxa" w:w="2351"/>
          </w:tcPr>
          <w:p>
            <w:r/>
            <w:r>
              <w:rPr>
                <w:color w:val="374151"/>
                <w:sz w:val="22"/>
              </w:rPr>
              <w:t>Mensal</w:t>
            </w:r>
          </w:p>
        </w:tc>
      </w:tr>
      <w:tr>
        <w:tc>
          <w:tcPr>
            <w:tcW w:type="dxa" w:w="2351"/>
          </w:tcPr>
          <w:p>
            <w:r/>
            <w:r>
              <w:rPr>
                <w:color w:val="374151"/>
                <w:sz w:val="22"/>
              </w:rPr>
              <w:t>Exceções ativas</w:t>
            </w:r>
          </w:p>
        </w:tc>
        <w:tc>
          <w:tcPr>
            <w:tcW w:type="dxa" w:w="2351"/>
          </w:tcPr>
          <w:p>
            <w:r/>
            <w:r>
              <w:rPr>
                <w:color w:val="374151"/>
                <w:sz w:val="22"/>
              </w:rPr>
              <w:t>Número de exceções de patch ativas</w:t>
            </w:r>
          </w:p>
        </w:tc>
        <w:tc>
          <w:tcPr>
            <w:tcW w:type="dxa" w:w="2351"/>
          </w:tcPr>
          <w:p>
            <w:r/>
            <w:r>
              <w:rPr>
                <w:color w:val="374151"/>
                <w:sz w:val="22"/>
              </w:rPr>
              <w:t>&lt; 5</w:t>
            </w:r>
          </w:p>
        </w:tc>
        <w:tc>
          <w:tcPr>
            <w:tcW w:type="dxa" w:w="2351"/>
          </w:tcPr>
          <w:p>
            <w:r/>
            <w:r>
              <w:rPr>
                <w:color w:val="374151"/>
                <w:sz w:val="22"/>
              </w:rPr>
              <w:t>Mensal</w:t>
            </w:r>
          </w:p>
        </w:tc>
      </w:tr>
      <w:tr>
        <w:tc>
          <w:tcPr>
            <w:tcW w:type="dxa" w:w="2351"/>
          </w:tcPr>
          <w:p>
            <w:r/>
            <w:r>
              <w:rPr>
                <w:color w:val="374151"/>
                <w:sz w:val="22"/>
              </w:rPr>
              <w:t>Aderência ao SLA</w:t>
            </w:r>
          </w:p>
        </w:tc>
        <w:tc>
          <w:tcPr>
            <w:tcW w:type="dxa" w:w="2351"/>
          </w:tcPr>
          <w:p>
            <w:r/>
            <w:r>
              <w:rPr>
                <w:color w:val="374151"/>
                <w:sz w:val="22"/>
              </w:rPr>
              <w:t>% de patches aplicados dentro do SLA definido</w:t>
            </w:r>
          </w:p>
        </w:tc>
        <w:tc>
          <w:tcPr>
            <w:tcW w:type="dxa" w:w="2351"/>
          </w:tcPr>
          <w:p>
            <w:r/>
            <w:r>
              <w:rPr>
                <w:color w:val="374151"/>
                <w:sz w:val="22"/>
              </w:rPr>
              <w:t>&gt;= 85%</w:t>
            </w:r>
          </w:p>
        </w:tc>
        <w:tc>
          <w:tcPr>
            <w:tcW w:type="dxa" w:w="2351"/>
          </w:tcPr>
          <w:p>
            <w:r/>
            <w:r>
              <w:rPr>
                <w:color w:val="374151"/>
                <w:sz w:val="22"/>
              </w:rPr>
              <w:t>Trimestral</w:t>
            </w:r>
          </w:p>
        </w:tc>
      </w:tr>
    </w:tbl>
    <w:p/>
    <w:p>
      <w:pPr>
        <w:pStyle w:val="Heading1"/>
      </w:pPr>
      <w:r>
        <w:rPr>
          <w:b/>
          <w:color w:val="1E3A8A"/>
          <w:sz w:val="32"/>
        </w:rPr>
        <w:t>9. Responsabilidades</w:t>
      </w:r>
    </w:p>
    <w:p>
      <w:r>
        <w:rPr>
          <w:color w:val="374151"/>
          <w:sz w:val="22"/>
        </w:rPr>
        <w:t>A gestão eficaz de patches requer a participação coordenada de vários intervenientes, com responsabilidades claramente definidas:</w:t>
      </w:r>
    </w:p>
    <w:p>
      <w:pPr>
        <w:pStyle w:val="ListParagraph"/>
      </w:pPr>
      <w:r>
        <w:rPr>
          <w:color w:val="374151"/>
          <w:sz w:val="22"/>
        </w:rPr>
        <w:t>CISO (Chief Information Security Officer): aprovação da política e das exceções, supervisão geral do programa de gestão de patches, reporte ao órgão de gestão, e aprovação de patches críticos com impacto em serviços essenciais.</w:t>
      </w:r>
    </w:p>
    <w:p>
      <w:pPr>
        <w:pStyle w:val="ListParagraph"/>
      </w:pPr>
      <w:r>
        <w:rPr>
          <w:color w:val="374151"/>
          <w:sz w:val="22"/>
        </w:rPr>
        <w:t>Equipa IT / Administradores de sistemas: monitorização de fontes de vulnerabilidades, aplicação de patches de acordo com os SLAs, testes em ambiente de desenvolvimento, documentação e registo no sistema de tickets.</w:t>
      </w:r>
    </w:p>
    <w:p>
      <w:pPr>
        <w:pStyle w:val="ListParagraph"/>
      </w:pPr>
      <w:r>
        <w:rPr>
          <w:color w:val="374151"/>
          <w:sz w:val="22"/>
        </w:rPr>
        <w:t>Gestores de aplicações de negócio: validação do impacto dos patches nas aplicações sob sua responsabilidade, participação nos testes de regressão, e aprovação da janela de implementação.</w:t>
      </w:r>
    </w:p>
    <w:p>
      <w:pPr>
        <w:pStyle w:val="ListParagraph"/>
      </w:pPr>
      <w:r>
        <w:rPr>
          <w:color w:val="374151"/>
          <w:sz w:val="22"/>
        </w:rPr>
        <w:t>Órgão de gestão: aprovação da política, alocação de recursos necessários (ferramentas, pessoal), e aprovação de exceções para vulnerabilidades críticas em serviços essenciais.</w:t>
      </w:r>
    </w:p>
    <w:p>
      <w:pPr>
        <w:pStyle w:val="Heading1"/>
      </w:pPr>
      <w:r>
        <w:rPr>
          <w:b/>
          <w:color w:val="1E3A8A"/>
          <w:sz w:val="32"/>
        </w:rPr>
        <w:t>10. Revisão da política</w:t>
      </w:r>
    </w:p>
    <w:p>
      <w:r>
        <w:rPr>
          <w:color w:val="374151"/>
          <w:sz w:val="22"/>
        </w:rPr>
        <w:t>A presente política é revista com periodicidade mínima anual pelo CISO, ou em antecipação sempre que ocorram alterações significativas ao ambiente tecnológico, ao quadro regulatório ou ao panorama de ameaças que justifiquem a sua atualização. A revisão inclui a análise dos KPIs do período anterior, a identificação de oportunidades de melhoria e o alinhamento com as mais recentes orientações do ENISA e do CNCS.</w:t>
      </w:r>
    </w:p>
    <w:p>
      <w:r>
        <w:rPr>
          <w:color w:val="374151"/>
          <w:sz w:val="22"/>
        </w:rPr>
        <w:t>Após cada revisão significativa, a política é submetida à aprovação do órgão de gestão, em conformidade com o Art. 29.º do DL 125/2025, que determina que os membros dos órgãos de gestão devem aprovar as medidas de gestão de riscos de cibersegurança e supervisionar a sua implementação. A versão aprovada substitui integralmente a versão anterior.</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color="1e3a8a" w:val="solid"/>
            <w:vAlign w:val="center"/>
          </w:tcPr>
          <w:p>
            <w:pPr>
              <w:jc w:val="center"/>
            </w:pPr>
            <w:r/>
            <w:r>
              <w:rPr>
                <w:b/>
                <w:color w:val="FFFFFF"/>
                <w:sz w:val="22"/>
              </w:rPr>
              <w:t>Função</w:t>
            </w:r>
          </w:p>
        </w:tc>
        <w:tc>
          <w:tcPr>
            <w:tcW w:type="dxa" w:w="2351"/>
            <w:shd w:color="1e3a8a" w:val="solid"/>
            <w:vAlign w:val="center"/>
          </w:tcPr>
          <w:p>
            <w:pPr>
              <w:jc w:val="center"/>
            </w:pPr>
            <w:r/>
            <w:r>
              <w:rPr>
                <w:b/>
                <w:color w:val="FFFFFF"/>
                <w:sz w:val="22"/>
              </w:rPr>
              <w:t>Nome</w:t>
            </w:r>
          </w:p>
        </w:tc>
        <w:tc>
          <w:tcPr>
            <w:tcW w:type="dxa" w:w="2351"/>
            <w:shd w:color="1e3a8a" w:val="solid"/>
            <w:vAlign w:val="center"/>
          </w:tcPr>
          <w:p>
            <w:pPr>
              <w:jc w:val="center"/>
            </w:pPr>
            <w:r/>
            <w:r>
              <w:rPr>
                <w:b/>
                <w:color w:val="FFFFFF"/>
                <w:sz w:val="22"/>
              </w:rPr>
              <w:t>Assinatura</w:t>
            </w:r>
          </w:p>
        </w:tc>
        <w:tc>
          <w:tcPr>
            <w:tcW w:type="dxa" w:w="2351"/>
            <w:shd w:color="1e3a8a" w:val="solid"/>
            <w:vAlign w:val="center"/>
          </w:tcPr>
          <w:p>
            <w:pPr>
              <w:jc w:val="center"/>
            </w:pPr>
            <w:r/>
            <w:r>
              <w:rPr>
                <w:b/>
                <w:color w:val="FFFFFF"/>
                <w:sz w:val="22"/>
              </w:rPr>
              <w:t>Data</w:t>
            </w:r>
          </w:p>
        </w:tc>
      </w:tr>
      <w:tr>
        <w:tc>
          <w:tcPr>
            <w:tcW w:type="dxa" w:w="2351"/>
          </w:tcPr>
          <w:p>
            <w:r/>
            <w:r>
              <w:rPr>
                <w:color w:val="374151"/>
                <w:sz w:val="22"/>
              </w:rPr>
              <w:t>CISO (Chief Information Security Officer)</w:t>
            </w:r>
          </w:p>
        </w:tc>
        <w:tc>
          <w:tcPr>
            <w:tcW w:type="dxa" w:w="2351"/>
          </w:tcPr>
          <w:p>
            <w:r/>
            <w:r>
              <w:rPr>
                <w:color w:val="374151"/>
                <w:sz w:val="22"/>
              </w:rPr>
              <w:t>[Nome]</w:t>
            </w:r>
          </w:p>
        </w:tc>
        <w:tc>
          <w:tcPr>
            <w:tcW w:type="dxa" w:w="2351"/>
          </w:tcPr>
          <w:p>
            <w:r/>
            <w:r>
              <w:rPr>
                <w:color w:val="374151"/>
                <w:sz w:val="22"/>
              </w:rPr>
            </w:r>
          </w:p>
        </w:tc>
        <w:tc>
          <w:tcPr>
            <w:tcW w:type="dxa" w:w="2351"/>
          </w:tcPr>
          <w:p>
            <w:r/>
            <w:r>
              <w:rPr>
                <w:color w:val="374151"/>
                <w:sz w:val="22"/>
              </w:rPr>
            </w:r>
          </w:p>
        </w:tc>
      </w:tr>
      <w:tr>
        <w:tc>
          <w:tcPr>
            <w:tcW w:type="dxa" w:w="2351"/>
          </w:tcPr>
          <w:p>
            <w:r/>
            <w:r>
              <w:rPr>
                <w:color w:val="374151"/>
                <w:sz w:val="22"/>
              </w:rPr>
              <w:t>IT Manager</w:t>
            </w:r>
          </w:p>
        </w:tc>
        <w:tc>
          <w:tcPr>
            <w:tcW w:type="dxa" w:w="2351"/>
          </w:tcPr>
          <w:p>
            <w:r/>
            <w:r>
              <w:rPr>
                <w:color w:val="374151"/>
                <w:sz w:val="22"/>
              </w:rPr>
              <w:t>[Nome]</w:t>
            </w:r>
          </w:p>
        </w:tc>
        <w:tc>
          <w:tcPr>
            <w:tcW w:type="dxa" w:w="2351"/>
          </w:tcPr>
          <w:p>
            <w:r/>
            <w:r>
              <w:rPr>
                <w:color w:val="374151"/>
                <w:sz w:val="22"/>
              </w:rPr>
            </w:r>
          </w:p>
        </w:tc>
        <w:tc>
          <w:tcPr>
            <w:tcW w:type="dxa" w:w="2351"/>
          </w:tcPr>
          <w:p>
            <w:r/>
            <w:r>
              <w:rPr>
                <w:color w:val="374151"/>
                <w:sz w:val="22"/>
              </w:rPr>
            </w:r>
          </w:p>
        </w:tc>
      </w:tr>
      <w:tr>
        <w:tc>
          <w:tcPr>
            <w:tcW w:type="dxa" w:w="2351"/>
          </w:tcPr>
          <w:p>
            <w:r/>
            <w:r>
              <w:rPr>
                <w:color w:val="374151"/>
                <w:sz w:val="22"/>
              </w:rPr>
              <w:t>Órgão de gestão / Administração</w:t>
            </w:r>
          </w:p>
        </w:tc>
        <w:tc>
          <w:tcPr>
            <w:tcW w:type="dxa" w:w="2351"/>
          </w:tcPr>
          <w:p>
            <w:r/>
            <w:r>
              <w:rPr>
                <w:color w:val="374151"/>
                <w:sz w:val="22"/>
              </w:rPr>
              <w:t>[Nome]</w:t>
            </w:r>
          </w:p>
        </w:tc>
        <w:tc>
          <w:tcPr>
            <w:tcW w:type="dxa" w:w="2351"/>
          </w:tcPr>
          <w:p>
            <w:r/>
            <w:r>
              <w:rPr>
                <w:color w:val="374151"/>
                <w:sz w:val="22"/>
              </w:rPr>
            </w:r>
          </w:p>
        </w:tc>
        <w:tc>
          <w:tcPr>
            <w:tcW w:type="dxa" w:w="2351"/>
          </w:tcPr>
          <w:p>
            <w:r/>
            <w:r>
              <w:rPr>
                <w:color w:val="374151"/>
                <w:sz w:val="22"/>
              </w:rPr>
            </w:r>
          </w:p>
        </w:tc>
      </w:tr>
    </w:tbl>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