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rPr>
          <w:color w:val="9CA3AF"/>
          <w:sz w:val="22"/>
        </w:rPr>
        <w:t>[Nome da organização]</w:t>
      </w:r>
    </w:p>
    <w:p>
      <w:pPr>
        <w:jc w:val="center"/>
      </w:pPr>
      <w:r>
        <w:rPr>
          <w:b/>
          <w:color w:val="1E3A8A"/>
          <w:sz w:val="28"/>
        </w:rPr>
        <w:t>Política de utilização segura de inteligência artificial</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Objetivo e âmbito</w:t>
      </w:r>
    </w:p>
    <w:p>
      <w:r>
        <w:rPr>
          <w:color w:val="374151"/>
          <w:sz w:val="22"/>
        </w:rPr>
        <w:t>A presente política define os princípios, requisitos e procedimentos para a utilização segura, ética e conforme de sistemas e ferramentas de inteligência artificial (IA) no contexto das operações da organização. O objetivo é permitir que a organização beneficie das oportunidades oferecidas pela IA, mitigando os riscos de segurança, privacidade e conformidade regulatória associados.</w:t>
      </w:r>
    </w:p>
    <w:p>
      <w:r>
        <w:rPr>
          <w:color w:val="374151"/>
          <w:sz w:val="22"/>
        </w:rPr>
        <w:t>Esta política aplica-se a todos os colaboradores, prestadores de serviços e parceiros que utilizem, desenvolvam, integrem ou supervisionem sistemas de IA em nome da organização, incluindo ferramentas de IA generativa (LLMs), sistemas de machine learning, algoritmos de tomada de decisão automatizada e qualquer software que incorpore funcionalidades de IA. Inclui tanto sistemas desenvolvidos internamente como serviços de IA de terceiros.</w:t>
      </w:r>
    </w:p>
    <w:p>
      <w:pPr>
        <w:pStyle w:val="Heading1"/>
      </w:pPr>
      <w:r>
        <w:rPr>
          <w:b/>
          <w:color w:val="1E3A8A"/>
          <w:sz w:val="32"/>
        </w:rPr>
        <w:t>2. Enquadramento regulatório</w:t>
      </w:r>
    </w:p>
    <w:p>
      <w:r>
        <w:rPr>
          <w:color w:val="374151"/>
          <w:sz w:val="22"/>
        </w:rPr>
        <w:t>A utilização de IA pela organização está sujeita a um quadro regulatório em rápida evolução, que combina requisitos de cibersegurança NIS2 com legislação específica sobre IA e proteção de dados:</w:t>
      </w:r>
    </w:p>
    <w:p>
      <w:pPr>
        <w:pStyle w:val="ListParagraph"/>
      </w:pPr>
      <w:r>
        <w:rPr>
          <w:color w:val="374151"/>
          <w:sz w:val="22"/>
        </w:rPr>
        <w:t>Decreto-Lei n.º 125/2025 (NIS2): a utilização de sistemas de IA em serviços essenciais ou importantes requer avaliação de risco e implementação de medidas de segurança adequadas. Sistemas de IA com vulnerabilidades podem constituir vetor de ataque (adversarial attacks, data poisoning). Art. 27.º e 28.º aplicam-se à segurança dos sistemas de IA utilizados.</w:t>
      </w:r>
    </w:p>
    <w:p>
      <w:pPr>
        <w:pStyle w:val="ListParagraph"/>
      </w:pPr>
      <w:r>
        <w:rPr>
          <w:color w:val="374151"/>
          <w:sz w:val="22"/>
        </w:rPr>
        <w:t>Regulamento (UE) 2024/1689 (AI Act): legislação europeia que classifica os sistemas de IA por nível de risco (inaceitável, alto, limitado, mínimo) e estabelece requisitos de conformidade diferenciados. Entrou em vigor em agosto de 2024, com aplicação faseada até 2027.</w:t>
      </w:r>
    </w:p>
    <w:p>
      <w:pPr>
        <w:pStyle w:val="ListParagraph"/>
      </w:pPr>
      <w:r>
        <w:rPr>
          <w:color w:val="374151"/>
          <w:sz w:val="22"/>
        </w:rPr>
        <w:t>RGPD (Regulamento 2016/679): a utilização de IA que envolva o tratamento de dados pessoais está sujeita aos princípios do RGPD, incluindo minimização de dados, limitação de finalidade e transparência. Decisões automatizadas com efeitos jurídicos significativos exigem salvaguardas específicas (Art. 22.º RGPD).</w:t>
      </w:r>
    </w:p>
    <w:p>
      <w:pPr>
        <w:pStyle w:val="Heading1"/>
      </w:pPr>
      <w:r>
        <w:rPr>
          <w:b/>
          <w:color w:val="1E3A8A"/>
          <w:sz w:val="32"/>
        </w:rPr>
        <w:t>3. Classificação de risco dos sistemas de IA</w:t>
      </w:r>
    </w:p>
    <w:p>
      <w:r>
        <w:rPr>
          <w:color w:val="374151"/>
          <w:sz w:val="22"/>
        </w:rPr>
        <w:t>Em conformidade com o Regulamento (UE) 2024/1689, todos os sistemas de IA utilizados pela organização devem ser classificados por nível de risco antes da sua adoção ou desenvolvimento:</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Nível de risco</w:t>
            </w:r>
          </w:p>
        </w:tc>
        <w:tc>
          <w:tcPr>
            <w:tcW w:type="dxa" w:w="2351"/>
            <w:shd w:color="1e3a8a" w:val="solid"/>
            <w:vAlign w:val="center"/>
          </w:tcPr>
          <w:p>
            <w:pPr>
              <w:jc w:val="center"/>
            </w:pPr>
            <w:r/>
            <w:r>
              <w:rPr>
                <w:b/>
                <w:color w:val="FFFFFF"/>
                <w:sz w:val="22"/>
              </w:rPr>
              <w:t>Exemplos</w:t>
            </w:r>
          </w:p>
        </w:tc>
        <w:tc>
          <w:tcPr>
            <w:tcW w:type="dxa" w:w="2351"/>
            <w:shd w:color="1e3a8a" w:val="solid"/>
            <w:vAlign w:val="center"/>
          </w:tcPr>
          <w:p>
            <w:pPr>
              <w:jc w:val="center"/>
            </w:pPr>
            <w:r/>
            <w:r>
              <w:rPr>
                <w:b/>
                <w:color w:val="FFFFFF"/>
                <w:sz w:val="22"/>
              </w:rPr>
              <w:t>Requisitos AI Act</w:t>
            </w:r>
          </w:p>
        </w:tc>
        <w:tc>
          <w:tcPr>
            <w:tcW w:type="dxa" w:w="2351"/>
            <w:shd w:color="1e3a8a" w:val="solid"/>
            <w:vAlign w:val="center"/>
          </w:tcPr>
          <w:p>
            <w:pPr>
              <w:jc w:val="center"/>
            </w:pPr>
            <w:r/>
            <w:r>
              <w:rPr>
                <w:b/>
                <w:color w:val="FFFFFF"/>
                <w:sz w:val="22"/>
              </w:rPr>
              <w:t>Aprovação necessária</w:t>
            </w:r>
          </w:p>
        </w:tc>
      </w:tr>
      <w:tr>
        <w:tc>
          <w:tcPr>
            <w:tcW w:type="dxa" w:w="2351"/>
          </w:tcPr>
          <w:p>
            <w:r/>
            <w:r>
              <w:rPr>
                <w:color w:val="374151"/>
                <w:sz w:val="22"/>
              </w:rPr>
              <w:t>Inaceitável (proibido)</w:t>
            </w:r>
          </w:p>
        </w:tc>
        <w:tc>
          <w:tcPr>
            <w:tcW w:type="dxa" w:w="2351"/>
          </w:tcPr>
          <w:p>
            <w:r/>
            <w:r>
              <w:rPr>
                <w:color w:val="374151"/>
                <w:sz w:val="22"/>
              </w:rPr>
              <w:t>Manipulação subliminar, scoring social</w:t>
            </w:r>
          </w:p>
        </w:tc>
        <w:tc>
          <w:tcPr>
            <w:tcW w:type="dxa" w:w="2351"/>
          </w:tcPr>
          <w:p>
            <w:r/>
            <w:r>
              <w:rPr>
                <w:color w:val="374151"/>
                <w:sz w:val="22"/>
              </w:rPr>
              <w:t>Proibido — não utilizar</w:t>
            </w:r>
          </w:p>
        </w:tc>
        <w:tc>
          <w:tcPr>
            <w:tcW w:type="dxa" w:w="2351"/>
          </w:tcPr>
          <w:p>
            <w:r/>
            <w:r>
              <w:rPr>
                <w:color w:val="374151"/>
                <w:sz w:val="22"/>
              </w:rPr>
              <w:t>N/A (proibido)</w:t>
            </w:r>
          </w:p>
        </w:tc>
      </w:tr>
      <w:tr>
        <w:tc>
          <w:tcPr>
            <w:tcW w:type="dxa" w:w="2351"/>
          </w:tcPr>
          <w:p>
            <w:r/>
            <w:r>
              <w:rPr>
                <w:color w:val="374151"/>
                <w:sz w:val="22"/>
              </w:rPr>
              <w:t>Alto risco</w:t>
            </w:r>
          </w:p>
        </w:tc>
        <w:tc>
          <w:tcPr>
            <w:tcW w:type="dxa" w:w="2351"/>
          </w:tcPr>
          <w:p>
            <w:r/>
            <w:r>
              <w:rPr>
                <w:color w:val="374151"/>
                <w:sz w:val="22"/>
              </w:rPr>
              <w:t>RH (triagem candidatos), crédito, biometria</w:t>
            </w:r>
          </w:p>
        </w:tc>
        <w:tc>
          <w:tcPr>
            <w:tcW w:type="dxa" w:w="2351"/>
          </w:tcPr>
          <w:p>
            <w:r/>
            <w:r>
              <w:rPr>
                <w:color w:val="374151"/>
                <w:sz w:val="22"/>
              </w:rPr>
              <w:t>Conformidade obrigatória AI Act</w:t>
            </w:r>
          </w:p>
        </w:tc>
        <w:tc>
          <w:tcPr>
            <w:tcW w:type="dxa" w:w="2351"/>
          </w:tcPr>
          <w:p>
            <w:r/>
            <w:r>
              <w:rPr>
                <w:color w:val="374151"/>
                <w:sz w:val="22"/>
              </w:rPr>
              <w:t>CISO + DPO + Gestão</w:t>
            </w:r>
          </w:p>
        </w:tc>
      </w:tr>
      <w:tr>
        <w:tc>
          <w:tcPr>
            <w:tcW w:type="dxa" w:w="2351"/>
          </w:tcPr>
          <w:p>
            <w:r/>
            <w:r>
              <w:rPr>
                <w:color w:val="374151"/>
                <w:sz w:val="22"/>
              </w:rPr>
              <w:t>Risco limitado</w:t>
            </w:r>
          </w:p>
        </w:tc>
        <w:tc>
          <w:tcPr>
            <w:tcW w:type="dxa" w:w="2351"/>
          </w:tcPr>
          <w:p>
            <w:r/>
            <w:r>
              <w:rPr>
                <w:color w:val="374151"/>
                <w:sz w:val="22"/>
              </w:rPr>
              <w:t>Chatbots, deepfakes, geração de conteúdo</w:t>
            </w:r>
          </w:p>
        </w:tc>
        <w:tc>
          <w:tcPr>
            <w:tcW w:type="dxa" w:w="2351"/>
          </w:tcPr>
          <w:p>
            <w:r/>
            <w:r>
              <w:rPr>
                <w:color w:val="374151"/>
                <w:sz w:val="22"/>
              </w:rPr>
              <w:t>Obrigações de transparência</w:t>
            </w:r>
          </w:p>
        </w:tc>
        <w:tc>
          <w:tcPr>
            <w:tcW w:type="dxa" w:w="2351"/>
          </w:tcPr>
          <w:p>
            <w:r/>
            <w:r>
              <w:rPr>
                <w:color w:val="374151"/>
                <w:sz w:val="22"/>
              </w:rPr>
              <w:t>CISO + DPO</w:t>
            </w:r>
          </w:p>
        </w:tc>
      </w:tr>
      <w:tr>
        <w:tc>
          <w:tcPr>
            <w:tcW w:type="dxa" w:w="2351"/>
          </w:tcPr>
          <w:p>
            <w:r/>
            <w:r>
              <w:rPr>
                <w:color w:val="374151"/>
                <w:sz w:val="22"/>
              </w:rPr>
              <w:t>Risco mínimo</w:t>
            </w:r>
          </w:p>
        </w:tc>
        <w:tc>
          <w:tcPr>
            <w:tcW w:type="dxa" w:w="2351"/>
          </w:tcPr>
          <w:p>
            <w:r/>
            <w:r>
              <w:rPr>
                <w:color w:val="374151"/>
                <w:sz w:val="22"/>
              </w:rPr>
              <w:t>Filtros de spam, recomendações</w:t>
            </w:r>
          </w:p>
        </w:tc>
        <w:tc>
          <w:tcPr>
            <w:tcW w:type="dxa" w:w="2351"/>
          </w:tcPr>
          <w:p>
            <w:r/>
            <w:r>
              <w:rPr>
                <w:color w:val="374151"/>
                <w:sz w:val="22"/>
              </w:rPr>
              <w:t>Sem requisitos específicos</w:t>
            </w:r>
          </w:p>
        </w:tc>
        <w:tc>
          <w:tcPr>
            <w:tcW w:type="dxa" w:w="2351"/>
          </w:tcPr>
          <w:p>
            <w:r/>
            <w:r>
              <w:rPr>
                <w:color w:val="374151"/>
                <w:sz w:val="22"/>
              </w:rPr>
              <w:t>CISO</w:t>
            </w:r>
          </w:p>
        </w:tc>
      </w:tr>
    </w:tbl>
    <w:p/>
    <w:p>
      <w:pPr>
        <w:pStyle w:val="Heading1"/>
      </w:pPr>
      <w:r>
        <w:rPr>
          <w:b/>
          <w:color w:val="1E3A8A"/>
          <w:sz w:val="32"/>
        </w:rPr>
        <w:t>4. Utilizações permitidas e proibidas</w:t>
      </w:r>
    </w:p>
    <w:p>
      <w:r>
        <w:rPr>
          <w:color w:val="374151"/>
          <w:sz w:val="22"/>
        </w:rPr>
        <w:t>A organização define as seguintes categorias de utilização de IA, com especial enfoque nas ferramentas de IA generativa (como assistentes de escrita, geração de código e sistemas de resposta automática):</w:t>
      </w:r>
    </w:p>
    <w:p>
      <w:pPr>
        <w:pStyle w:val="ListParagraph"/>
      </w:pPr>
      <w:r>
        <w:rPr>
          <w:color w:val="374151"/>
          <w:sz w:val="22"/>
        </w:rPr>
        <w:t>Permitido: utilização de ferramentas de IA generativa para produção de rascunhos de documentos, assistência na programação, análise de dados não sensíveis, tradução e resumo de conteúdos públicos. Sempre com revisão humana antes de uso final.</w:t>
      </w:r>
    </w:p>
    <w:p>
      <w:pPr>
        <w:pStyle w:val="ListParagraph"/>
      </w:pPr>
      <w:r>
        <w:rPr>
          <w:color w:val="374151"/>
          <w:sz w:val="22"/>
        </w:rPr>
        <w:t>Permitido com restrições: análise de dados internos em ferramentas de IA aprovadas pelo CISO, com garantia de que os dados não são utilizados para treino dos modelos do fornecedor. Requer validação prévia dos termos de serviço do fornecedor de IA.</w:t>
      </w:r>
    </w:p>
    <w:p>
      <w:pPr>
        <w:pStyle w:val="ListParagraph"/>
      </w:pPr>
      <w:r>
        <w:rPr>
          <w:color w:val="374151"/>
          <w:sz w:val="22"/>
        </w:rPr>
        <w:t>Proibido: introdução de dados pessoais de clientes ou colaboradores em ferramentas de IA generativa não aprovadas (ex: ChatGPT público, Gemini pessoal), partilha de informação confidencial, código fonte proprietário ou segredos comerciais com sistemas de IA sem garantias contratuais adequadas.</w:t>
      </w:r>
    </w:p>
    <w:p>
      <w:pPr>
        <w:pStyle w:val="ListParagraph"/>
      </w:pPr>
      <w:r>
        <w:rPr>
          <w:color w:val="374151"/>
          <w:sz w:val="22"/>
        </w:rPr>
        <w:t>Proibido: utilização de IA para gerar conteúdo enganoso ou fraudulento, para decisões automatizadas sobre pessoas sem supervisão humana, ou para contornar controlos de segurança estabelecidos.</w:t>
      </w:r>
    </w:p>
    <w:p>
      <w:pPr>
        <w:pStyle w:val="Heading1"/>
      </w:pPr>
      <w:r>
        <w:rPr>
          <w:b/>
          <w:color w:val="1E3A8A"/>
          <w:sz w:val="32"/>
        </w:rPr>
        <w:t>5. Proteção de dados pessoais</w:t>
      </w:r>
    </w:p>
    <w:p>
      <w:r>
        <w:rPr>
          <w:color w:val="374151"/>
          <w:sz w:val="22"/>
        </w:rPr>
        <w:t>A interseção entre IA e proteção de dados é particularmente crítica. Qualquer sistema de IA que envolva tratamento de dados pessoais requer análise prévia pelo DPO e pode exigir a realização de uma Avaliação de Impacto sobre a Proteção de Dados (AIPD/DPIA) nos termos do Art. 35.º do RGPD.</w:t>
      </w:r>
    </w:p>
    <w:p>
      <w:pPr>
        <w:pStyle w:val="ListParagraph"/>
      </w:pPr>
      <w:r>
        <w:rPr>
          <w:color w:val="374151"/>
          <w:sz w:val="22"/>
        </w:rPr>
        <w:t>DPIA obrigatória: sistemas de IA que realizem perfilagem de pessoas, tomada de decisão automatizada com efeitos jurídicos, processamento em larga escala de dados sensíveis, ou monitorização sistemática de comportamentos.</w:t>
      </w:r>
    </w:p>
    <w:p>
      <w:pPr>
        <w:pStyle w:val="ListParagraph"/>
      </w:pPr>
      <w:r>
        <w:rPr>
          <w:color w:val="374151"/>
          <w:sz w:val="22"/>
        </w:rPr>
        <w:t>Minimização de dados: os sistemas de IA devem ser configurados para utilizar o mínimo de dados pessoais necessário para o fim pretendido. Dados devem ser anonimizados ou pseudonimizados sempre que possível antes de serem processados por sistemas de IA.</w:t>
      </w:r>
    </w:p>
    <w:p>
      <w:pPr>
        <w:pStyle w:val="ListParagraph"/>
      </w:pPr>
      <w:r>
        <w:rPr>
          <w:color w:val="374151"/>
          <w:sz w:val="22"/>
        </w:rPr>
        <w:t>Direitos dos titulares: garantir que os titulares dos dados podem exercer os seus direitos (acesso, retificação, oposição a decisões automatizadas) em relação a sistemas de IA que tratem os seus dados.</w:t>
      </w:r>
    </w:p>
    <w:p>
      <w:pPr>
        <w:pStyle w:val="Heading1"/>
      </w:pPr>
      <w:r>
        <w:rPr>
          <w:b/>
          <w:color w:val="1E3A8A"/>
          <w:sz w:val="32"/>
        </w:rPr>
        <w:t>6. Segurança dos modelos de IA</w:t>
      </w:r>
    </w:p>
    <w:p>
      <w:r>
        <w:rPr>
          <w:color w:val="374151"/>
          <w:sz w:val="22"/>
        </w:rPr>
        <w:t>Os sistemas de IA desenvolvidos ou utilizados pela organização estão sujeitos a ameaças de segurança específicas, que devem ser avaliadas e mitigadas como parte do processo de gestão de riscos de cibersegurança:</w:t>
      </w:r>
    </w:p>
    <w:p>
      <w:pPr>
        <w:pStyle w:val="ListParagraph"/>
      </w:pPr>
      <w:r>
        <w:rPr>
          <w:color w:val="374151"/>
          <w:sz w:val="22"/>
        </w:rPr>
        <w:t>Ataques adversariais (adversarial attacks): entradas cuidadosamente manipuladas que causam comportamentos incorretos nos modelos de IA (ex: classificação errada, geração de conteúdo malicioso). Mitigação: treino adversarial, robustez dos modelos, validação de inputs.</w:t>
      </w:r>
    </w:p>
    <w:p>
      <w:pPr>
        <w:pStyle w:val="ListParagraph"/>
      </w:pPr>
      <w:r>
        <w:rPr>
          <w:color w:val="374151"/>
          <w:sz w:val="22"/>
        </w:rPr>
        <w:t>Envenenamento de dados (data poisoning): inserção de dados maliciosos no conjunto de treino para manipular o comportamento do modelo. Mitigação: validação e sanitização dos dados de treino, auditoria do processo de treino, proveniência dos dados.</w:t>
      </w:r>
    </w:p>
    <w:p>
      <w:pPr>
        <w:pStyle w:val="ListParagraph"/>
      </w:pPr>
      <w:r>
        <w:rPr>
          <w:color w:val="374151"/>
          <w:sz w:val="22"/>
        </w:rPr>
        <w:t>Exfiltração de dados de treino (model inversion, membership inference): técnicas que permitem inferir dados de treino sensíveis a partir do modelo. Mitigação: differential privacy, limitação das queries ao modelo, monitorização de acessos.</w:t>
      </w:r>
    </w:p>
    <w:p>
      <w:pPr>
        <w:pStyle w:val="ListParagraph"/>
      </w:pPr>
      <w:r>
        <w:rPr>
          <w:color w:val="374151"/>
          <w:sz w:val="22"/>
        </w:rPr>
        <w:t>Injeção de prompt (prompt injection): em sistemas de IA generativa, entradas maliciosas que manipulam o comportamento do sistema (ex: ignorar instruções do sistema, revelar dados internos). Mitigação: validação de inputs, separação de canais de instrução e dados, monitorização de outputs.</w:t>
      </w:r>
    </w:p>
    <w:p>
      <w:pPr>
        <w:pStyle w:val="Heading1"/>
      </w:pPr>
      <w:r>
        <w:rPr>
          <w:b/>
          <w:color w:val="1E3A8A"/>
          <w:sz w:val="32"/>
        </w:rPr>
        <w:t>7. Transparência e supervisão humana</w:t>
      </w:r>
    </w:p>
    <w:p>
      <w:r>
        <w:rPr>
          <w:color w:val="374151"/>
          <w:sz w:val="22"/>
        </w:rPr>
        <w:t>A organização compromete-se a garantir transparência na utilização de IA e a manter supervisão humana em todas as decisões com impacto significativo em pessoas ou no negócio. A transparência é um requisito tanto do AI Act como do RGPD.</w:t>
      </w:r>
    </w:p>
    <w:p>
      <w:pPr>
        <w:pStyle w:val="ListParagraph"/>
      </w:pPr>
      <w:r>
        <w:rPr>
          <w:color w:val="374151"/>
          <w:sz w:val="22"/>
        </w:rPr>
        <w:t>Transparência externa: quando a organização utiliza sistemas de IA para interagir com clientes (chatbots, respostas automáticas), deve informar claramente que se trata de um sistema automático. Conteúdo gerado por IA que possa induzir em erro deve ser identificado.</w:t>
      </w:r>
    </w:p>
    <w:p>
      <w:pPr>
        <w:pStyle w:val="ListParagraph"/>
      </w:pPr>
      <w:r>
        <w:rPr>
          <w:color w:val="374151"/>
          <w:sz w:val="22"/>
        </w:rPr>
        <w:t>Supervisão humana: decisões com impacto significativo em pessoas (admissão, despedimento, concessão de crédito, triagem de reclamações) não podem ser totalmente automatizadas. Um humano responsável deve analisar e aprovar a decisão final.</w:t>
      </w:r>
    </w:p>
    <w:p>
      <w:pPr>
        <w:pStyle w:val="ListParagraph"/>
      </w:pPr>
      <w:r>
        <w:rPr>
          <w:color w:val="374151"/>
          <w:sz w:val="22"/>
        </w:rPr>
        <w:t>Auditabilidade: os sistemas de IA de alto risco devem manter logs que permitam reconstituir as decisões tomadas, identificar os dados utilizados e verificar o funcionamento correto do sistema. Logs mantidos por período mínimo de 3 anos.</w:t>
      </w:r>
    </w:p>
    <w:p>
      <w:pPr>
        <w:pStyle w:val="Heading1"/>
      </w:pPr>
      <w:r>
        <w:rPr>
          <w:b/>
          <w:color w:val="1E3A8A"/>
          <w:sz w:val="32"/>
        </w:rPr>
        <w:t>8. Formação e responsabilidades</w:t>
      </w:r>
    </w:p>
    <w:p>
      <w:r>
        <w:rPr>
          <w:color w:val="374151"/>
          <w:sz w:val="22"/>
        </w:rPr>
        <w:t>A utilização segura e responsável de IA requer formação adequada de todos os colaboradores que utilizem ou supervisionem sistemas de IA. A formação é obrigatória e deve ser completada antes da autorização de utilização de ferramentas de IA aprovadas.</w:t>
      </w:r>
    </w:p>
    <w:p>
      <w:pPr>
        <w:pStyle w:val="ListParagraph"/>
      </w:pPr>
      <w:r>
        <w:rPr>
          <w:color w:val="374151"/>
          <w:sz w:val="22"/>
        </w:rPr>
        <w:t>Formação geral: todos os colaboradores — conceitos básicos de IA, riscos de segurança e privacidade, regras de utilização permitida e proibida, procedimento de reporte de incidentes com IA. Duração mínima: 2 horas. Periodicidade: anual.</w:t>
      </w:r>
    </w:p>
    <w:p>
      <w:pPr>
        <w:pStyle w:val="ListParagraph"/>
      </w:pPr>
      <w:r>
        <w:rPr>
          <w:color w:val="374151"/>
          <w:sz w:val="22"/>
        </w:rPr>
        <w:t>Formação técnica: equipas de desenvolvimento e TI — segurança de modelos de IA, ataques adversariais, proteção de dados em sistemas de IA, AI Act requisitos técnicos. Duração mínima: 8 horas. Periodicidade: anual.</w:t>
      </w:r>
    </w:p>
    <w:p>
      <w:pPr>
        <w:pStyle w:val="ListParagraph"/>
      </w:pPr>
      <w:r>
        <w:rPr>
          <w:color w:val="374151"/>
          <w:sz w:val="22"/>
        </w:rPr>
        <w:t>Responsabilidades: o CISO é responsável pela supervisão de segurança dos sistemas de IA. O DPO é responsável pela conformidade com o RGPD e AI Act. O responsável de cada área é responsável pela supervisão humana das decisões apoiadas por IA na sua área.</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Função</w:t>
            </w:r>
          </w:p>
        </w:tc>
        <w:tc>
          <w:tcPr>
            <w:tcW w:type="dxa" w:w="2351"/>
            <w:shd w:color="1e3a8a" w:val="solid"/>
            <w:vAlign w:val="center"/>
          </w:tcPr>
          <w:p>
            <w:pPr>
              <w:jc w:val="center"/>
            </w:pPr>
            <w:r/>
            <w:r>
              <w:rPr>
                <w:b/>
                <w:color w:val="FFFFFF"/>
                <w:sz w:val="22"/>
              </w:rPr>
              <w:t>Nome</w:t>
            </w:r>
          </w:p>
        </w:tc>
        <w:tc>
          <w:tcPr>
            <w:tcW w:type="dxa" w:w="2351"/>
            <w:shd w:color="1e3a8a" w:val="solid"/>
            <w:vAlign w:val="center"/>
          </w:tcPr>
          <w:p>
            <w:pPr>
              <w:jc w:val="center"/>
            </w:pPr>
            <w:r/>
            <w:r>
              <w:rPr>
                <w:b/>
                <w:color w:val="FFFFFF"/>
                <w:sz w:val="22"/>
              </w:rPr>
              <w:t>Assinatura</w:t>
            </w:r>
          </w:p>
        </w:tc>
        <w:tc>
          <w:tcPr>
            <w:tcW w:type="dxa" w:w="2351"/>
            <w:shd w:color="1e3a8a" w:val="solid"/>
            <w:vAlign w:val="center"/>
          </w:tcPr>
          <w:p>
            <w:pPr>
              <w:jc w:val="center"/>
            </w:pPr>
            <w:r/>
            <w:r>
              <w:rPr>
                <w:b/>
                <w:color w:val="FFFFFF"/>
                <w:sz w:val="22"/>
              </w:rPr>
              <w:t>Data</w:t>
            </w:r>
          </w:p>
        </w:tc>
      </w:tr>
      <w:tr>
        <w:tc>
          <w:tcPr>
            <w:tcW w:type="dxa" w:w="2351"/>
          </w:tcPr>
          <w:p>
            <w:r/>
            <w:r>
              <w:rPr>
                <w:color w:val="374151"/>
                <w:sz w:val="22"/>
              </w:rPr>
              <w:t>CISO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Encarregado de Proteção de Dados (DPO)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Responsável de conformidade (Compliance Officer)</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Órgão de gestão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bl>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