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Política de segurança da informação</w:t>
      </w:r>
    </w:p>
    <w:p>
      <w:pPr>
        <w:spacing w:after="1200"/>
        <w:jc w:val="center"/>
      </w:pPr>
      <w:r>
        <w:rPr>
          <w:color w:val="374151"/>
          <w:sz w:val="22"/>
          <w:szCs w:val="22"/>
          <w:rFonts w:ascii="Calibri" w:cs="Calibri" w:eastAsia="Calibri" w:hAnsi="Calibri"/>
        </w:rPr>
        <w:t xml:space="preserve">Conformidade com o Decreto-Lei n.º 125/2025 (NIS2)</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Introdução e objetivo</w:t>
      </w:r>
    </w:p>
    <w:p>
      <w:pPr>
        <w:spacing w:after="160"/>
      </w:pPr>
      <w:r>
        <w:rPr>
          <w:color w:val="374151"/>
          <w:sz w:val="22"/>
          <w:szCs w:val="22"/>
          <w:rFonts w:ascii="Calibri" w:cs="Calibri" w:eastAsia="Calibri" w:hAnsi="Calibri"/>
        </w:rPr>
        <w:t xml:space="preserve">A presente política de segurança da informação estabelece os princípios, diretrizes e responsabilidades para a proteção dos ativos de informação de [Nome da organização], em conformidade com o Decreto-Lei n.º 125/2025 que transpõe a Diretiva (UE) 2022/2555 (NIS2) para o ordenamento jurídico português.</w:t>
      </w:r>
    </w:p>
    <w:p>
      <w:pPr>
        <w:spacing w:after="160"/>
      </w:pPr>
      <w:r>
        <w:rPr>
          <w:color w:val="374151"/>
          <w:sz w:val="22"/>
          <w:szCs w:val="22"/>
          <w:rFonts w:ascii="Calibri" w:cs="Calibri" w:eastAsia="Calibri" w:hAnsi="Calibri"/>
        </w:rPr>
        <w:t xml:space="preserve">O objetivo primordial é garantir a confidencialidade, a integridade e a disponibilidade da informação, protegendo a organização contra incidentes de cibersegurança que possam afetar a prestação dos seus serviços essenciais ou importantes.</w:t>
      </w:r>
    </w:p>
    <w:p>
      <w:pPr>
        <w:spacing w:after="160"/>
      </w:pPr>
      <w:r>
        <w:rPr>
          <w:color w:val="374151"/>
          <w:sz w:val="22"/>
          <w:szCs w:val="22"/>
          <w:rFonts w:ascii="Calibri" w:cs="Calibri" w:eastAsia="Calibri" w:hAnsi="Calibri"/>
        </w:rPr>
        <w:t xml:space="preserve">Esta política constitui o documento de referência de mais alto nível em matéria de cibersegurança e deve ser lida em conjunto com os procedimentos, planos e instruções de trabalho que a complementam. Todos os documentos subordinados devem ser coerentes com os princípios aqui estabelecidos.</w:t>
      </w:r>
    </w:p>
    <w:p>
      <w:pPr>
        <w:shd w:color="dbeafe" w:val="solid"/>
        <w:spacing w:before="160" w:after="160"/>
        <w:ind w:left="360" w:right="360"/>
      </w:pPr>
      <w:r>
        <w:rPr>
          <w:i/>
          <w:iCs/>
          <w:color w:val="1e3a8a"/>
          <w:sz w:val="22"/>
          <w:szCs w:val="22"/>
          <w:rFonts w:ascii="Calibri" w:cs="Calibri" w:eastAsia="Calibri" w:hAnsi="Calibri"/>
        </w:rPr>
        <w:t xml:space="preserve">Referência legal: Art. 25.º a 27.º do DL 125/2025 — obrigações gerais das entidades abrangidas e medidas de gestão dos riscos de cibersegurança.</w:t>
      </w:r>
    </w:p>
    <w:p>
      <w:pPr>
        <w:pStyle w:val="Heading1"/>
        <w:spacing w:before="400" w:after="200"/>
      </w:pPr>
      <w:r>
        <w:rPr>
          <w:b/>
          <w:bCs/>
          <w:color w:val="1e3a8a"/>
          <w:sz w:val="32"/>
          <w:szCs w:val="32"/>
          <w:rFonts w:ascii="Calibri" w:cs="Calibri" w:eastAsia="Calibri" w:hAnsi="Calibri"/>
        </w:rPr>
        <w:t xml:space="preserve">2. Âmbito de aplicação</w:t>
      </w:r>
    </w:p>
    <w:p>
      <w:pPr>
        <w:spacing w:after="160"/>
      </w:pPr>
      <w:r>
        <w:rPr>
          <w:color w:val="374151"/>
          <w:sz w:val="22"/>
          <w:szCs w:val="22"/>
          <w:rFonts w:ascii="Calibri" w:cs="Calibri" w:eastAsia="Calibri" w:hAnsi="Calibri"/>
        </w:rPr>
        <w:t xml:space="preserve">Esta política aplica-se a:</w:t>
      </w:r>
    </w:p>
    <w:p>
      <w:pPr>
        <w:pStyle w:val="ListParagraph"/>
        <w:numPr>
          <w:ilvl w:val="0"/>
          <w:numId w:val="1"/>
        </w:numPr>
        <w:spacing w:after="80"/>
      </w:pPr>
      <w:r>
        <w:rPr>
          <w:color w:val="374151"/>
          <w:sz w:val="22"/>
          <w:szCs w:val="22"/>
          <w:rFonts w:ascii="Calibri" w:cs="Calibri" w:eastAsia="Calibri" w:hAnsi="Calibri"/>
        </w:rPr>
        <w:t xml:space="preserve">Todos os colaboradores, incluindo trabalhadores permanentes, temporários e estagiários</w:t>
      </w:r>
    </w:p>
    <w:p>
      <w:pPr>
        <w:pStyle w:val="ListParagraph"/>
        <w:numPr>
          <w:ilvl w:val="0"/>
          <w:numId w:val="1"/>
        </w:numPr>
        <w:spacing w:after="80"/>
      </w:pPr>
      <w:r>
        <w:rPr>
          <w:color w:val="374151"/>
          <w:sz w:val="22"/>
          <w:szCs w:val="22"/>
          <w:rFonts w:ascii="Calibri" w:cs="Calibri" w:eastAsia="Calibri" w:hAnsi="Calibri"/>
        </w:rPr>
        <w:t xml:space="preserve">Membros dos órgãos de gestão e administração</w:t>
      </w:r>
    </w:p>
    <w:p>
      <w:pPr>
        <w:pStyle w:val="ListParagraph"/>
        <w:numPr>
          <w:ilvl w:val="0"/>
          <w:numId w:val="1"/>
        </w:numPr>
        <w:spacing w:after="80"/>
      </w:pPr>
      <w:r>
        <w:rPr>
          <w:color w:val="374151"/>
          <w:sz w:val="22"/>
          <w:szCs w:val="22"/>
          <w:rFonts w:ascii="Calibri" w:cs="Calibri" w:eastAsia="Calibri" w:hAnsi="Calibri"/>
        </w:rPr>
        <w:t xml:space="preserve">Fornecedores, prestadores de serviços e parceiros com acesso a sistemas ou dados da organização</w:t>
      </w:r>
    </w:p>
    <w:p>
      <w:pPr>
        <w:pStyle w:val="ListParagraph"/>
        <w:numPr>
          <w:ilvl w:val="0"/>
          <w:numId w:val="1"/>
        </w:numPr>
        <w:spacing w:after="80"/>
      </w:pPr>
      <w:r>
        <w:rPr>
          <w:color w:val="374151"/>
          <w:sz w:val="22"/>
          <w:szCs w:val="22"/>
          <w:rFonts w:ascii="Calibri" w:cs="Calibri" w:eastAsia="Calibri" w:hAnsi="Calibri"/>
        </w:rPr>
        <w:t xml:space="preserve">Todos os sistemas de informação, redes, dispositivos e dados tratados ou processados pela organização</w:t>
      </w:r>
    </w:p>
    <w:p>
      <w:pPr>
        <w:pStyle w:val="ListParagraph"/>
        <w:numPr>
          <w:ilvl w:val="0"/>
          <w:numId w:val="1"/>
        </w:numPr>
        <w:spacing w:after="80"/>
      </w:pPr>
      <w:r>
        <w:rPr>
          <w:color w:val="374151"/>
          <w:sz w:val="22"/>
          <w:szCs w:val="22"/>
          <w:rFonts w:ascii="Calibri" w:cs="Calibri" w:eastAsia="Calibri" w:hAnsi="Calibri"/>
        </w:rPr>
        <w:t xml:space="preserve">Infraestruturas físicas e lógicas que suportam a prestação de serviços da organização</w:t>
      </w:r>
    </w:p>
    <w:p>
      <w:pPr>
        <w:pStyle w:val="ListParagraph"/>
        <w:numPr>
          <w:ilvl w:val="0"/>
          <w:numId w:val="1"/>
        </w:numPr>
        <w:spacing w:after="80"/>
      </w:pPr>
      <w:r>
        <w:rPr>
          <w:color w:val="374151"/>
          <w:sz w:val="22"/>
          <w:szCs w:val="22"/>
          <w:rFonts w:ascii="Calibri" w:cs="Calibri" w:eastAsia="Calibri" w:hAnsi="Calibri"/>
        </w:rPr>
        <w:t xml:space="preserve">Processamento de dados em ambientes de nuvem, sistemas locais e ambientes híbridos</w:t>
      </w:r>
    </w:p>
    <w:p>
      <w:pPr>
        <w:spacing w:after="160"/>
      </w:pPr>
      <w:r>
        <w:rPr>
          <w:color w:val="374151"/>
          <w:sz w:val="22"/>
          <w:szCs w:val="22"/>
          <w:rFonts w:ascii="Calibri" w:cs="Calibri" w:eastAsia="Calibri" w:hAnsi="Calibri"/>
        </w:rPr>
        <w:t xml:space="preserve">A política abrange todos os países e locais onde a organização opera, independentemente da jurisdição local, sem prejuízo de requisitos legais mais exigentes que possam ser aplicáveis localmente.</w:t>
      </w:r>
    </w:p>
    <w:p>
      <w:pPr>
        <w:spacing w:after="160"/>
      </w:pPr>
      <w:r>
        <w:rPr>
          <w:color w:val="374151"/>
          <w:sz w:val="22"/>
          <w:szCs w:val="22"/>
          <w:rFonts w:ascii="Calibri" w:cs="Calibri" w:eastAsia="Calibri" w:hAnsi="Calibri"/>
        </w:rPr>
        <w:t xml:space="preserve">[Indicar eventuais exclusões específicas, se aplicável.]</w:t>
      </w:r>
    </w:p>
    <w:p>
      <w:pPr>
        <w:shd w:color="dbeafe" w:val="solid"/>
        <w:spacing w:before="160" w:after="160"/>
        <w:ind w:left="360" w:right="360"/>
      </w:pPr>
      <w:r>
        <w:rPr>
          <w:i/>
          <w:iCs/>
          <w:color w:val="1e3a8a"/>
          <w:sz w:val="22"/>
          <w:szCs w:val="22"/>
          <w:rFonts w:ascii="Calibri" w:cs="Calibri" w:eastAsia="Calibri" w:hAnsi="Calibri"/>
        </w:rPr>
        <w:t xml:space="preserve">Art. 2.º do DL 125/2025 — âmbito de aplicação às entidades essenciais e entidades importantes nos setores listados nos Anexos I e II.</w:t>
      </w:r>
    </w:p>
    <w:p>
      <w:pPr>
        <w:pStyle w:val="Heading1"/>
        <w:spacing w:before="400" w:after="200"/>
      </w:pPr>
      <w:r>
        <w:rPr>
          <w:b/>
          <w:bCs/>
          <w:color w:val="1e3a8a"/>
          <w:sz w:val="32"/>
          <w:szCs w:val="32"/>
          <w:rFonts w:ascii="Calibri" w:cs="Calibri" w:eastAsia="Calibri" w:hAnsi="Calibri"/>
        </w:rPr>
        <w:t xml:space="preserve">3. Enquadramento legal</w:t>
      </w:r>
    </w:p>
    <w:p>
      <w:pPr>
        <w:spacing w:after="160"/>
      </w:pPr>
      <w:r>
        <w:rPr>
          <w:color w:val="374151"/>
          <w:sz w:val="22"/>
          <w:szCs w:val="22"/>
          <w:rFonts w:ascii="Calibri" w:cs="Calibri" w:eastAsia="Calibri" w:hAnsi="Calibri"/>
        </w:rPr>
        <w:t xml:space="preserve">Esta política enquadra-se no seguinte quadro normativo, sem prejuízo de outras obrigações legais e regulamentares aplicáveis à organização:</w:t>
      </w:r>
    </w:p>
    <w:p>
      <w:pPr>
        <w:pStyle w:val="ListParagraph"/>
        <w:numPr>
          <w:ilvl w:val="0"/>
          <w:numId w:val="1"/>
        </w:numPr>
        <w:spacing w:after="80"/>
      </w:pPr>
      <w:r>
        <w:rPr>
          <w:color w:val="374151"/>
          <w:sz w:val="22"/>
          <w:szCs w:val="22"/>
          <w:rFonts w:ascii="Calibri" w:cs="Calibri" w:eastAsia="Calibri" w:hAnsi="Calibri"/>
        </w:rPr>
        <w:t xml:space="preserve">Decreto-Lei n.º 125/2025 — transposição da Diretiva (UE) 2022/2555 (NIS2) para Portugal</w:t>
      </w:r>
    </w:p>
    <w:p>
      <w:pPr>
        <w:pStyle w:val="ListParagraph"/>
        <w:numPr>
          <w:ilvl w:val="0"/>
          <w:numId w:val="1"/>
        </w:numPr>
        <w:spacing w:after="80"/>
      </w:pPr>
      <w:r>
        <w:rPr>
          <w:color w:val="374151"/>
          <w:sz w:val="22"/>
          <w:szCs w:val="22"/>
          <w:rFonts w:ascii="Calibri" w:cs="Calibri" w:eastAsia="Calibri" w:hAnsi="Calibri"/>
        </w:rPr>
        <w:t xml:space="preserve">Regulamento Geral sobre a Proteção de Dados (RGPD) — Regulamento (UE) 2016/679</w:t>
      </w:r>
    </w:p>
    <w:p>
      <w:pPr>
        <w:pStyle w:val="ListParagraph"/>
        <w:numPr>
          <w:ilvl w:val="0"/>
          <w:numId w:val="1"/>
        </w:numPr>
        <w:spacing w:after="80"/>
      </w:pPr>
      <w:r>
        <w:rPr>
          <w:color w:val="374151"/>
          <w:sz w:val="22"/>
          <w:szCs w:val="22"/>
          <w:rFonts w:ascii="Calibri" w:cs="Calibri" w:eastAsia="Calibri" w:hAnsi="Calibri"/>
        </w:rPr>
        <w:t xml:space="preserve">Lei do Cibercrime — Lei n.º 109/2009, de 15 de setembro</w:t>
      </w:r>
    </w:p>
    <w:p>
      <w:pPr>
        <w:pStyle w:val="ListParagraph"/>
        <w:numPr>
          <w:ilvl w:val="0"/>
          <w:numId w:val="1"/>
        </w:numPr>
        <w:spacing w:after="80"/>
      </w:pPr>
      <w:r>
        <w:rPr>
          <w:color w:val="374151"/>
          <w:sz w:val="22"/>
          <w:szCs w:val="22"/>
          <w:rFonts w:ascii="Calibri" w:cs="Calibri" w:eastAsia="Calibri" w:hAnsi="Calibri"/>
        </w:rPr>
        <w:t xml:space="preserve">Regime Jurídico da Segurança do Ciberespaço — Lei n.º 46/2018, de 13 de agosto</w:t>
      </w:r>
    </w:p>
    <w:p>
      <w:pPr>
        <w:pStyle w:val="ListParagraph"/>
        <w:numPr>
          <w:ilvl w:val="0"/>
          <w:numId w:val="1"/>
        </w:numPr>
        <w:spacing w:after="80"/>
      </w:pPr>
      <w:r>
        <w:rPr>
          <w:color w:val="374151"/>
          <w:sz w:val="22"/>
          <w:szCs w:val="22"/>
          <w:rFonts w:ascii="Calibri" w:cs="Calibri" w:eastAsia="Calibri" w:hAnsi="Calibri"/>
        </w:rPr>
        <w:t xml:space="preserve">ISO/IEC 27001:2022 — Sistema de gestão de segurança da informação (referência técnica)</w:t>
      </w:r>
    </w:p>
    <w:p>
      <w:pPr>
        <w:pStyle w:val="ListParagraph"/>
        <w:numPr>
          <w:ilvl w:val="0"/>
          <w:numId w:val="1"/>
        </w:numPr>
        <w:spacing w:after="80"/>
      </w:pPr>
      <w:r>
        <w:rPr>
          <w:color w:val="374151"/>
          <w:sz w:val="22"/>
          <w:szCs w:val="22"/>
          <w:rFonts w:ascii="Calibri" w:cs="Calibri" w:eastAsia="Calibri" w:hAnsi="Calibri"/>
        </w:rPr>
        <w:t xml:space="preserve">Quadro Nacional de Referência para a Cibersegurança (QNRCS)</w:t>
      </w:r>
    </w:p>
    <w:p>
      <w:pPr>
        <w:pStyle w:val="ListParagraph"/>
        <w:numPr>
          <w:ilvl w:val="0"/>
          <w:numId w:val="1"/>
        </w:numPr>
        <w:spacing w:after="80"/>
      </w:pPr>
      <w:r>
        <w:rPr>
          <w:color w:val="374151"/>
          <w:sz w:val="22"/>
          <w:szCs w:val="22"/>
          <w:rFonts w:ascii="Calibri" w:cs="Calibri" w:eastAsia="Calibri" w:hAnsi="Calibri"/>
        </w:rPr>
        <w:t xml:space="preserve">Normas técnicas e orientações emitidas pelo Centro Nacional de Cibersegurança (CNCS)</w:t>
      </w:r>
    </w:p>
    <w:p>
      <w:pPr>
        <w:spacing w:after="160"/>
      </w:pPr>
      <w:r>
        <w:rPr>
          <w:color w:val="374151"/>
          <w:sz w:val="22"/>
          <w:szCs w:val="22"/>
          <w:rFonts w:ascii="Calibri" w:cs="Calibri" w:eastAsia="Calibri" w:hAnsi="Calibri"/>
        </w:rPr>
        <w:t xml:space="preserve">Em caso de conflito entre esta política e disposições legais ou regulamentares aplicáveis, prevalece o quadro legal. A organização deve assegurar a conformidade simultânea com todos os normativos aplicáveis.</w:t>
      </w:r>
    </w:p>
    <w:p>
      <w:pPr>
        <w:shd w:color="dbeafe" w:val="solid"/>
        <w:spacing w:before="160" w:after="160"/>
        <w:ind w:left="360" w:right="360"/>
      </w:pPr>
      <w:r>
        <w:rPr>
          <w:i/>
          <w:iCs/>
          <w:color w:val="1e3a8a"/>
          <w:sz w:val="22"/>
          <w:szCs w:val="22"/>
          <w:rFonts w:ascii="Calibri" w:cs="Calibri" w:eastAsia="Calibri" w:hAnsi="Calibri"/>
        </w:rPr>
        <w:t xml:space="preserve">O DL 125/2025 entrou em vigor em abril de 2026. As coimas previstas nos Art. 52.º a 55.º aplicam-se após abril de 2027 (período de dispensa de um ano).</w:t>
      </w:r>
    </w:p>
    <w:p>
      <w:pPr>
        <w:pStyle w:val="Heading1"/>
        <w:spacing w:before="400" w:after="200"/>
      </w:pPr>
      <w:r>
        <w:rPr>
          <w:b/>
          <w:bCs/>
          <w:color w:val="1e3a8a"/>
          <w:sz w:val="32"/>
          <w:szCs w:val="32"/>
          <w:rFonts w:ascii="Calibri" w:cs="Calibri" w:eastAsia="Calibri" w:hAnsi="Calibri"/>
        </w:rPr>
        <w:t xml:space="preserve">4. Princípios de segurança da informação</w:t>
      </w:r>
    </w:p>
    <w:p>
      <w:pPr>
        <w:spacing w:after="160"/>
      </w:pPr>
      <w:r>
        <w:rPr>
          <w:color w:val="374151"/>
          <w:sz w:val="22"/>
          <w:szCs w:val="22"/>
          <w:rFonts w:ascii="Calibri" w:cs="Calibri" w:eastAsia="Calibri" w:hAnsi="Calibri"/>
        </w:rPr>
        <w:t xml:space="preserve">A organização norteia a sua abordagem à segurança da informação pelos seguintes princípios fundamentais, os quais devem orientar todas as decisões e ações em matéria de cibersegurança.</w:t>
      </w:r>
    </w:p>
    <w:p>
      <w:pPr>
        <w:pStyle w:val="Heading2"/>
        <w:spacing w:before="320" w:after="160"/>
      </w:pPr>
      <w:r>
        <w:rPr>
          <w:b/>
          <w:bCs/>
          <w:color w:val="1e3a8a"/>
          <w:sz w:val="28"/>
          <w:szCs w:val="28"/>
          <w:rFonts w:ascii="Calibri" w:cs="Calibri" w:eastAsia="Calibri" w:hAnsi="Calibri"/>
        </w:rPr>
        <w:t xml:space="preserve">4.1. Confidencialidade</w:t>
      </w:r>
    </w:p>
    <w:p>
      <w:pPr>
        <w:spacing w:after="160"/>
      </w:pPr>
      <w:r>
        <w:rPr>
          <w:color w:val="374151"/>
          <w:sz w:val="22"/>
          <w:szCs w:val="22"/>
          <w:rFonts w:ascii="Calibri" w:cs="Calibri" w:eastAsia="Calibri" w:hAnsi="Calibri"/>
        </w:rPr>
        <w:t xml:space="preserve">A informação deve ser acessível apenas a pessoas e sistemas autorizados, garantindo que dados sensíveis não sejam divulgados a partes não autorizadas, seja por ação deliberada ou por acidente. O acesso deve ser concedido segundo o princípio do mínimo privilégio, atribuindo apenas as permissões estritamente necessárias ao exercício das funções.</w:t>
      </w:r>
    </w:p>
    <w:p>
      <w:pPr>
        <w:pStyle w:val="Heading2"/>
        <w:spacing w:before="320" w:after="160"/>
      </w:pPr>
      <w:r>
        <w:rPr>
          <w:b/>
          <w:bCs/>
          <w:color w:val="1e3a8a"/>
          <w:sz w:val="28"/>
          <w:szCs w:val="28"/>
          <w:rFonts w:ascii="Calibri" w:cs="Calibri" w:eastAsia="Calibri" w:hAnsi="Calibri"/>
        </w:rPr>
        <w:t xml:space="preserve">4.2. Integridade</w:t>
      </w:r>
    </w:p>
    <w:p>
      <w:pPr>
        <w:spacing w:after="160"/>
      </w:pPr>
      <w:r>
        <w:rPr>
          <w:color w:val="374151"/>
          <w:sz w:val="22"/>
          <w:szCs w:val="22"/>
          <w:rFonts w:ascii="Calibri" w:cs="Calibri" w:eastAsia="Calibri" w:hAnsi="Calibri"/>
        </w:rPr>
        <w:t xml:space="preserve">A informação deve ser precisa, completa e protegida contra alterações não autorizadas ou acidentais ao longo de todo o seu ciclo de vida. Os mecanismos de controlo de integridade devem garantir que qualquer modificação não autorizada seja detetada atempadamente e reportada.</w:t>
      </w:r>
    </w:p>
    <w:p>
      <w:pPr>
        <w:pStyle w:val="Heading2"/>
        <w:spacing w:before="320" w:after="160"/>
      </w:pPr>
      <w:r>
        <w:rPr>
          <w:b/>
          <w:bCs/>
          <w:color w:val="1e3a8a"/>
          <w:sz w:val="28"/>
          <w:szCs w:val="28"/>
          <w:rFonts w:ascii="Calibri" w:cs="Calibri" w:eastAsia="Calibri" w:hAnsi="Calibri"/>
        </w:rPr>
        <w:t xml:space="preserve">4.3. Disponibilidade</w:t>
      </w:r>
    </w:p>
    <w:p>
      <w:pPr>
        <w:spacing w:after="160"/>
      </w:pPr>
      <w:r>
        <w:rPr>
          <w:color w:val="374151"/>
          <w:sz w:val="22"/>
          <w:szCs w:val="22"/>
          <w:rFonts w:ascii="Calibri" w:cs="Calibri" w:eastAsia="Calibri" w:hAnsi="Calibri"/>
        </w:rPr>
        <w:t xml:space="preserve">Os sistemas e informações devem estar disponíveis quando necessário, cumprindo os requisitos de continuidade de negócio e os níveis de serviço definidos. Os objetivos de tempo de recuperação (RTO) e ponto de recuperação (RPO) devem ser definidos e testados periodicamente.</w:t>
      </w:r>
    </w:p>
    <w:p>
      <w:pPr>
        <w:pStyle w:val="Heading2"/>
        <w:spacing w:before="320" w:after="160"/>
      </w:pPr>
      <w:r>
        <w:rPr>
          <w:b/>
          <w:bCs/>
          <w:color w:val="1e3a8a"/>
          <w:sz w:val="28"/>
          <w:szCs w:val="28"/>
          <w:rFonts w:ascii="Calibri" w:cs="Calibri" w:eastAsia="Calibri" w:hAnsi="Calibri"/>
        </w:rPr>
        <w:t xml:space="preserve">4.4. Responsabilização</w:t>
      </w:r>
    </w:p>
    <w:p>
      <w:pPr>
        <w:spacing w:after="160"/>
      </w:pPr>
      <w:r>
        <w:rPr>
          <w:color w:val="374151"/>
          <w:sz w:val="22"/>
          <w:szCs w:val="22"/>
          <w:rFonts w:ascii="Calibri" w:cs="Calibri" w:eastAsia="Calibri" w:hAnsi="Calibri"/>
        </w:rPr>
        <w:t xml:space="preserve">Todas as ações relacionadas com sistemas de informação devem ser rastreáveis ao respetivo utilizador ou processo, através de mecanismos robustos de registo, monitorização e auditoria. A responsabilização individual é condição necessária para o funcionamento eficaz dos controlos de segurança.</w:t>
      </w:r>
    </w:p>
    <w:p>
      <w:pPr>
        <w:pStyle w:val="Heading2"/>
        <w:spacing w:before="320" w:after="160"/>
      </w:pPr>
      <w:r>
        <w:rPr>
          <w:b/>
          <w:bCs/>
          <w:color w:val="1e3a8a"/>
          <w:sz w:val="28"/>
          <w:szCs w:val="28"/>
          <w:rFonts w:ascii="Calibri" w:cs="Calibri" w:eastAsia="Calibri" w:hAnsi="Calibri"/>
        </w:rPr>
        <w:t xml:space="preserve">4.5. Proporcionalidade</w:t>
      </w:r>
    </w:p>
    <w:p>
      <w:pPr>
        <w:spacing w:after="160"/>
      </w:pPr>
      <w:r>
        <w:rPr>
          <w:color w:val="374151"/>
          <w:sz w:val="22"/>
          <w:szCs w:val="22"/>
          <w:rFonts w:ascii="Calibri" w:cs="Calibri" w:eastAsia="Calibri" w:hAnsi="Calibri"/>
        </w:rPr>
        <w:t xml:space="preserve">As medidas de segurança devem ser proporcionais aos riscos identificados, considerando o estado da arte, os custos de implementação, a dimensão da organização e a natureza dos serviços prestados. A abordagem baseada em risco permite concentrar os recursos onde o impacto potencial é maior.</w:t>
      </w:r>
    </w:p>
    <w:p>
      <w:pPr>
        <w:shd w:color="dbeafe" w:val="solid"/>
        <w:spacing w:before="160" w:after="160"/>
        <w:ind w:left="360" w:right="360"/>
      </w:pPr>
      <w:r>
        <w:rPr>
          <w:i/>
          <w:iCs/>
          <w:color w:val="1e3a8a"/>
          <w:sz w:val="22"/>
          <w:szCs w:val="22"/>
          <w:rFonts w:ascii="Calibri" w:cs="Calibri" w:eastAsia="Calibri" w:hAnsi="Calibri"/>
        </w:rPr>
        <w:t xml:space="preserve">Art. 26.º n.º 3 do DL 125/2025 — proporcionalidade das medidas de gestão de riscos em função da exposição, dimensão e probabilidade de ocorrência de incidentes.</w:t>
      </w:r>
    </w:p>
    <w:p>
      <w:pPr>
        <w:pStyle w:val="Heading2"/>
        <w:spacing w:before="320" w:after="160"/>
      </w:pPr>
      <w:r>
        <w:rPr>
          <w:b/>
          <w:bCs/>
          <w:color w:val="1e3a8a"/>
          <w:sz w:val="28"/>
          <w:szCs w:val="28"/>
          <w:rFonts w:ascii="Calibri" w:cs="Calibri" w:eastAsia="Calibri" w:hAnsi="Calibri"/>
        </w:rPr>
        <w:t xml:space="preserve">4.6. Defesa em profundidade</w:t>
      </w:r>
    </w:p>
    <w:p>
      <w:pPr>
        <w:spacing w:after="160"/>
      </w:pPr>
      <w:r>
        <w:rPr>
          <w:color w:val="374151"/>
          <w:sz w:val="22"/>
          <w:szCs w:val="22"/>
          <w:rFonts w:ascii="Calibri" w:cs="Calibri" w:eastAsia="Calibri" w:hAnsi="Calibri"/>
        </w:rPr>
        <w:t xml:space="preserve">A organização aplica múltiplas camadas de controlos de segurança, de forma a que a falha de um controlo não comprometa a segurança global. Esta abordagem reduz a superfície de ataque e limita o impacto de eventuais incidentes.</w:t>
      </w:r>
    </w:p>
    <w:p>
      <w:pPr>
        <w:pStyle w:val="Heading2"/>
        <w:spacing w:before="320" w:after="160"/>
      </w:pPr>
      <w:r>
        <w:rPr>
          <w:b/>
          <w:bCs/>
          <w:color w:val="1e3a8a"/>
          <w:sz w:val="28"/>
          <w:szCs w:val="28"/>
          <w:rFonts w:ascii="Calibri" w:cs="Calibri" w:eastAsia="Calibri" w:hAnsi="Calibri"/>
        </w:rPr>
        <w:t xml:space="preserve">4.7. Melhoria contínua</w:t>
      </w:r>
    </w:p>
    <w:p>
      <w:pPr>
        <w:spacing w:after="160"/>
      </w:pPr>
      <w:r>
        <w:rPr>
          <w:color w:val="374151"/>
          <w:sz w:val="22"/>
          <w:szCs w:val="22"/>
          <w:rFonts w:ascii="Calibri" w:cs="Calibri" w:eastAsia="Calibri" w:hAnsi="Calibri"/>
        </w:rPr>
        <w:t xml:space="preserve">A segurança da informação é um processo contínuo de avaliação, aprendizagem e aperfeiçoamento. A organização revê periodicamente as suas medidas de segurança face ao panorama de ameaças em constante evolução e incorpora as lições aprendidas com incidentes e exercícios.</w:t>
      </w:r>
    </w:p>
    <w:p>
      <w:pPr>
        <w:pStyle w:val="Heading1"/>
        <w:spacing w:before="400" w:after="200"/>
      </w:pPr>
      <w:r>
        <w:rPr>
          <w:b/>
          <w:bCs/>
          <w:color w:val="1e3a8a"/>
          <w:sz w:val="32"/>
          <w:szCs w:val="32"/>
          <w:rFonts w:ascii="Calibri" w:cs="Calibri" w:eastAsia="Calibri" w:hAnsi="Calibri"/>
        </w:rPr>
        <w:t xml:space="preserve">5. Governação e responsabilidades</w:t>
      </w:r>
    </w:p>
    <w:p>
      <w:pPr>
        <w:spacing w:after="160"/>
      </w:pPr>
      <w:r>
        <w:rPr>
          <w:color w:val="374151"/>
          <w:sz w:val="22"/>
          <w:szCs w:val="22"/>
          <w:rFonts w:ascii="Calibri" w:cs="Calibri" w:eastAsia="Calibri" w:hAnsi="Calibri"/>
        </w:rPr>
        <w:t xml:space="preserve">A estrutura de governação de cibersegurança da organização assegura a clara atribuição de responsabilidades em todos os níveis hierárquicos, em conformidade com os requisitos do DL 125/2025.</w:t>
      </w:r>
    </w:p>
    <w:p>
      <w:pPr>
        <w:pStyle w:val="Heading2"/>
        <w:spacing w:before="320" w:after="160"/>
      </w:pPr>
      <w:r>
        <w:rPr>
          <w:b/>
          <w:bCs/>
          <w:color w:val="1e3a8a"/>
          <w:sz w:val="28"/>
          <w:szCs w:val="28"/>
          <w:rFonts w:ascii="Calibri" w:cs="Calibri" w:eastAsia="Calibri" w:hAnsi="Calibri"/>
        </w:rPr>
        <w:t xml:space="preserve">5.1. Órgão de gestão</w:t>
      </w:r>
    </w:p>
    <w:p>
      <w:pPr>
        <w:spacing w:after="160"/>
      </w:pPr>
      <w:r>
        <w:rPr>
          <w:color w:val="374151"/>
          <w:sz w:val="22"/>
          <w:szCs w:val="22"/>
          <w:rFonts w:ascii="Calibri" w:cs="Calibri" w:eastAsia="Calibri" w:hAnsi="Calibri"/>
        </w:rPr>
        <w:t xml:space="preserve">O órgão de gestão é responsável por aprovar as medidas de gestão dos riscos de cibersegurança e supervisionar a sua execução (Art. 25.º n.º 1 do DL 125/2025). Os membros do órgão de gestão devem frequentar formação regular em cibersegurança e são pessoalmente responsáveis pelo cumprimento das obrigações legais.</w:t>
      </w:r>
    </w:p>
    <w:p>
      <w:pPr>
        <w:pStyle w:val="ListParagraph"/>
        <w:numPr>
          <w:ilvl w:val="0"/>
          <w:numId w:val="1"/>
        </w:numPr>
        <w:spacing w:after="80"/>
      </w:pPr>
      <w:r>
        <w:rPr>
          <w:color w:val="374151"/>
          <w:sz w:val="22"/>
          <w:szCs w:val="22"/>
          <w:rFonts w:ascii="Calibri" w:cs="Calibri" w:eastAsia="Calibri" w:hAnsi="Calibri"/>
        </w:rPr>
        <w:t xml:space="preserve">Aprovar a presente política e as medidas de segurança associadas</w:t>
      </w:r>
    </w:p>
    <w:p>
      <w:pPr>
        <w:pStyle w:val="ListParagraph"/>
        <w:numPr>
          <w:ilvl w:val="0"/>
          <w:numId w:val="1"/>
        </w:numPr>
        <w:spacing w:after="80"/>
      </w:pPr>
      <w:r>
        <w:rPr>
          <w:color w:val="374151"/>
          <w:sz w:val="22"/>
          <w:szCs w:val="22"/>
          <w:rFonts w:ascii="Calibri" w:cs="Calibri" w:eastAsia="Calibri" w:hAnsi="Calibri"/>
        </w:rPr>
        <w:t xml:space="preserve">Alocar recursos humanos, financeiros e tecnológicos adequados à implementação</w:t>
      </w:r>
    </w:p>
    <w:p>
      <w:pPr>
        <w:pStyle w:val="ListParagraph"/>
        <w:numPr>
          <w:ilvl w:val="0"/>
          <w:numId w:val="1"/>
        </w:numPr>
        <w:spacing w:after="80"/>
      </w:pPr>
      <w:r>
        <w:rPr>
          <w:color w:val="374151"/>
          <w:sz w:val="22"/>
          <w:szCs w:val="22"/>
          <w:rFonts w:ascii="Calibri" w:cs="Calibri" w:eastAsia="Calibri" w:hAnsi="Calibri"/>
        </w:rPr>
        <w:t xml:space="preserve">Supervisionar a conformidade com os requisitos do DL 125/2025</w:t>
      </w:r>
    </w:p>
    <w:p>
      <w:pPr>
        <w:pStyle w:val="ListParagraph"/>
        <w:numPr>
          <w:ilvl w:val="0"/>
          <w:numId w:val="1"/>
        </w:numPr>
        <w:spacing w:after="80"/>
      </w:pPr>
      <w:r>
        <w:rPr>
          <w:color w:val="374151"/>
          <w:sz w:val="22"/>
          <w:szCs w:val="22"/>
          <w:rFonts w:ascii="Calibri" w:cs="Calibri" w:eastAsia="Calibri" w:hAnsi="Calibri"/>
        </w:rPr>
        <w:t xml:space="preserve">Frequentar formação sobre gestão de riscos de cibersegurança (obrigatório por lei)</w:t>
      </w:r>
    </w:p>
    <w:p>
      <w:pPr>
        <w:pStyle w:val="ListParagraph"/>
        <w:numPr>
          <w:ilvl w:val="0"/>
          <w:numId w:val="1"/>
        </w:numPr>
        <w:spacing w:after="80"/>
      </w:pPr>
      <w:r>
        <w:rPr>
          <w:color w:val="374151"/>
          <w:sz w:val="22"/>
          <w:szCs w:val="22"/>
          <w:rFonts w:ascii="Calibri" w:cs="Calibri" w:eastAsia="Calibri" w:hAnsi="Calibri"/>
        </w:rPr>
        <w:t xml:space="preserve">Aprovar o plano de resposta a incidentes e o plano de continuidade de negócio</w:t>
      </w:r>
    </w:p>
    <w:p>
      <w:pPr>
        <w:pStyle w:val="ListParagraph"/>
        <w:numPr>
          <w:ilvl w:val="0"/>
          <w:numId w:val="1"/>
        </w:numPr>
        <w:spacing w:after="80"/>
      </w:pPr>
      <w:r>
        <w:rPr>
          <w:color w:val="374151"/>
          <w:sz w:val="22"/>
          <w:szCs w:val="22"/>
          <w:rFonts w:ascii="Calibri" w:cs="Calibri" w:eastAsia="Calibri" w:hAnsi="Calibri"/>
        </w:rPr>
        <w:t xml:space="preserve">Rever anualmente a eficácia das medidas de segurança implementadas</w:t>
      </w:r>
    </w:p>
    <w:p>
      <w:pPr>
        <w:pStyle w:val="Heading2"/>
        <w:spacing w:before="320" w:after="160"/>
      </w:pPr>
      <w:r>
        <w:rPr>
          <w:b/>
          <w:bCs/>
          <w:color w:val="1e3a8a"/>
          <w:sz w:val="28"/>
          <w:szCs w:val="28"/>
          <w:rFonts w:ascii="Calibri" w:cs="Calibri" w:eastAsia="Calibri" w:hAnsi="Calibri"/>
        </w:rPr>
        <w:t xml:space="preserve">5.2. Responsável de cibersegurança (Art. 31.º)</w:t>
      </w:r>
    </w:p>
    <w:p>
      <w:pPr>
        <w:spacing w:after="160"/>
      </w:pPr>
      <w:r>
        <w:rPr>
          <w:color w:val="374151"/>
          <w:sz w:val="22"/>
          <w:szCs w:val="22"/>
          <w:rFonts w:ascii="Calibri" w:cs="Calibri" w:eastAsia="Calibri" w:hAnsi="Calibri"/>
        </w:rPr>
        <w:t xml:space="preserve">[Nome/cargo] é designado como responsável de cibersegurança, nos termos do Art. 31.º do DL 125/2025, com as seguintes funções:</w:t>
      </w:r>
    </w:p>
    <w:p>
      <w:pPr>
        <w:pStyle w:val="ListParagraph"/>
        <w:numPr>
          <w:ilvl w:val="0"/>
          <w:numId w:val="1"/>
        </w:numPr>
        <w:spacing w:after="80"/>
      </w:pPr>
      <w:r>
        <w:rPr>
          <w:color w:val="374151"/>
          <w:sz w:val="22"/>
          <w:szCs w:val="22"/>
          <w:rFonts w:ascii="Calibri" w:cs="Calibri" w:eastAsia="Calibri" w:hAnsi="Calibri"/>
        </w:rPr>
        <w:t xml:space="preserve">Implementar, manter e rever a política de segurança da informação</w:t>
      </w:r>
    </w:p>
    <w:p>
      <w:pPr>
        <w:pStyle w:val="ListParagraph"/>
        <w:numPr>
          <w:ilvl w:val="0"/>
          <w:numId w:val="1"/>
        </w:numPr>
        <w:spacing w:after="80"/>
      </w:pPr>
      <w:r>
        <w:rPr>
          <w:color w:val="374151"/>
          <w:sz w:val="22"/>
          <w:szCs w:val="22"/>
          <w:rFonts w:ascii="Calibri" w:cs="Calibri" w:eastAsia="Calibri" w:hAnsi="Calibri"/>
        </w:rPr>
        <w:t xml:space="preserve">Coordenar a gestão de riscos de cibersegurança e a avaliação periódica de riscos</w:t>
      </w:r>
    </w:p>
    <w:p>
      <w:pPr>
        <w:pStyle w:val="ListParagraph"/>
        <w:numPr>
          <w:ilvl w:val="0"/>
          <w:numId w:val="1"/>
        </w:numPr>
        <w:spacing w:after="80"/>
      </w:pPr>
      <w:r>
        <w:rPr>
          <w:color w:val="374151"/>
          <w:sz w:val="22"/>
          <w:szCs w:val="22"/>
          <w:rFonts w:ascii="Calibri" w:cs="Calibri" w:eastAsia="Calibri" w:hAnsi="Calibri"/>
        </w:rPr>
        <w:t xml:space="preserve">Gerir e coordenar a resposta a incidentes de cibersegurança</w:t>
      </w:r>
    </w:p>
    <w:p>
      <w:pPr>
        <w:pStyle w:val="ListParagraph"/>
        <w:numPr>
          <w:ilvl w:val="0"/>
          <w:numId w:val="1"/>
        </w:numPr>
        <w:spacing w:after="80"/>
      </w:pPr>
      <w:r>
        <w:rPr>
          <w:color w:val="374151"/>
          <w:sz w:val="22"/>
          <w:szCs w:val="22"/>
          <w:rFonts w:ascii="Calibri" w:cs="Calibri" w:eastAsia="Calibri" w:hAnsi="Calibri"/>
        </w:rPr>
        <w:t xml:space="preserve">Garantir a conformidade com todos os requisitos regulamentares aplicáveis</w:t>
      </w:r>
    </w:p>
    <w:p>
      <w:pPr>
        <w:pStyle w:val="ListParagraph"/>
        <w:numPr>
          <w:ilvl w:val="0"/>
          <w:numId w:val="1"/>
        </w:numPr>
        <w:spacing w:after="80"/>
      </w:pPr>
      <w:r>
        <w:rPr>
          <w:color w:val="374151"/>
          <w:sz w:val="22"/>
          <w:szCs w:val="22"/>
          <w:rFonts w:ascii="Calibri" w:cs="Calibri" w:eastAsia="Calibri" w:hAnsi="Calibri"/>
        </w:rPr>
        <w:t xml:space="preserve">Reportar periodicamente ao órgão de gestão sobre o estado da cibersegurança</w:t>
      </w:r>
    </w:p>
    <w:p>
      <w:pPr>
        <w:pStyle w:val="ListParagraph"/>
        <w:numPr>
          <w:ilvl w:val="0"/>
          <w:numId w:val="1"/>
        </w:numPr>
        <w:spacing w:after="80"/>
      </w:pPr>
      <w:r>
        <w:rPr>
          <w:color w:val="374151"/>
          <w:sz w:val="22"/>
          <w:szCs w:val="22"/>
          <w:rFonts w:ascii="Calibri" w:cs="Calibri" w:eastAsia="Calibri" w:hAnsi="Calibri"/>
        </w:rPr>
        <w:t xml:space="preserve">Coordenar programas de formação, sensibilização e exercícios de cibersegurança</w:t>
      </w:r>
    </w:p>
    <w:p>
      <w:pPr>
        <w:pStyle w:val="ListParagraph"/>
        <w:numPr>
          <w:ilvl w:val="0"/>
          <w:numId w:val="1"/>
        </w:numPr>
        <w:spacing w:after="80"/>
      </w:pPr>
      <w:r>
        <w:rPr>
          <w:color w:val="374151"/>
          <w:sz w:val="22"/>
          <w:szCs w:val="22"/>
          <w:rFonts w:ascii="Calibri" w:cs="Calibri" w:eastAsia="Calibri" w:hAnsi="Calibri"/>
        </w:rPr>
        <w:t xml:space="preserve">Acompanhar o panorama de ameaças e adaptar as medidas em conformidade</w:t>
      </w:r>
    </w:p>
    <w:p>
      <w:pPr>
        <w:pStyle w:val="Heading2"/>
        <w:spacing w:before="320" w:after="160"/>
      </w:pPr>
      <w:r>
        <w:rPr>
          <w:b/>
          <w:bCs/>
          <w:color w:val="1e3a8a"/>
          <w:sz w:val="28"/>
          <w:szCs w:val="28"/>
          <w:rFonts w:ascii="Calibri" w:cs="Calibri" w:eastAsia="Calibri" w:hAnsi="Calibri"/>
        </w:rPr>
        <w:t xml:space="preserve">5.3. Ponto de contacto (Art. 32.º)</w:t>
      </w:r>
    </w:p>
    <w:p>
      <w:pPr>
        <w:spacing w:after="160"/>
      </w:pPr>
      <w:r>
        <w:rPr>
          <w:color w:val="374151"/>
          <w:sz w:val="22"/>
          <w:szCs w:val="22"/>
          <w:rFonts w:ascii="Calibri" w:cs="Calibri" w:eastAsia="Calibri" w:hAnsi="Calibri"/>
        </w:rPr>
        <w:t xml:space="preserve">[Nome/cargo] é designado como ponto de contacto único junto do Centro Nacional de Cibersegurança (CNCS), nos termos do Art. 32.º do DL 125/2025. O ponto de contacto assegura a comunicação bidirecional com as autoridades competentes, incluindo a notificação de incidentes e a receção de alertas e orientações.</w:t>
      </w:r>
    </w:p>
    <w:p>
      <w:pPr>
        <w:pStyle w:val="Heading2"/>
        <w:spacing w:before="320" w:after="160"/>
      </w:pPr>
      <w:r>
        <w:rPr>
          <w:b/>
          <w:bCs/>
          <w:color w:val="1e3a8a"/>
          <w:sz w:val="28"/>
          <w:szCs w:val="28"/>
          <w:rFonts w:ascii="Calibri" w:cs="Calibri" w:eastAsia="Calibri" w:hAnsi="Calibri"/>
        </w:rPr>
        <w:t xml:space="preserve">5.4. Responsáveis de departamento</w:t>
      </w:r>
    </w:p>
    <w:p>
      <w:pPr>
        <w:spacing w:after="160"/>
      </w:pPr>
      <w:r>
        <w:rPr>
          <w:color w:val="374151"/>
          <w:sz w:val="22"/>
          <w:szCs w:val="22"/>
          <w:rFonts w:ascii="Calibri" w:cs="Calibri" w:eastAsia="Calibri" w:hAnsi="Calibri"/>
        </w:rPr>
        <w:t xml:space="preserve">Os responsáveis de cada departamento ou área funcional têm as seguintes obrigações em matéria de cibersegurança:</w:t>
      </w:r>
    </w:p>
    <w:p>
      <w:pPr>
        <w:pStyle w:val="ListParagraph"/>
        <w:numPr>
          <w:ilvl w:val="0"/>
          <w:numId w:val="1"/>
        </w:numPr>
        <w:spacing w:after="80"/>
      </w:pPr>
      <w:r>
        <w:rPr>
          <w:color w:val="374151"/>
          <w:sz w:val="22"/>
          <w:szCs w:val="22"/>
          <w:rFonts w:ascii="Calibri" w:cs="Calibri" w:eastAsia="Calibri" w:hAnsi="Calibri"/>
        </w:rPr>
        <w:t xml:space="preserve">Garantir que os colaboradores da sua área conhecem e cumprem esta política</w:t>
      </w:r>
    </w:p>
    <w:p>
      <w:pPr>
        <w:pStyle w:val="ListParagraph"/>
        <w:numPr>
          <w:ilvl w:val="0"/>
          <w:numId w:val="1"/>
        </w:numPr>
        <w:spacing w:after="80"/>
      </w:pPr>
      <w:r>
        <w:rPr>
          <w:color w:val="374151"/>
          <w:sz w:val="22"/>
          <w:szCs w:val="22"/>
          <w:rFonts w:ascii="Calibri" w:cs="Calibri" w:eastAsia="Calibri" w:hAnsi="Calibri"/>
        </w:rPr>
        <w:t xml:space="preserve">Identificar e reportar riscos de segurança detetados na sua área de responsabilidade</w:t>
      </w:r>
    </w:p>
    <w:p>
      <w:pPr>
        <w:pStyle w:val="ListParagraph"/>
        <w:numPr>
          <w:ilvl w:val="0"/>
          <w:numId w:val="1"/>
        </w:numPr>
        <w:spacing w:after="80"/>
      </w:pPr>
      <w:r>
        <w:rPr>
          <w:color w:val="374151"/>
          <w:sz w:val="22"/>
          <w:szCs w:val="22"/>
          <w:rFonts w:ascii="Calibri" w:cs="Calibri" w:eastAsia="Calibri" w:hAnsi="Calibri"/>
        </w:rPr>
        <w:t xml:space="preserve">Assegurar a proteção adequada dos ativos de informação sob sua responsabilidade</w:t>
      </w:r>
    </w:p>
    <w:p>
      <w:pPr>
        <w:pStyle w:val="ListParagraph"/>
        <w:numPr>
          <w:ilvl w:val="0"/>
          <w:numId w:val="1"/>
        </w:numPr>
        <w:spacing w:after="80"/>
      </w:pPr>
      <w:r>
        <w:rPr>
          <w:color w:val="374151"/>
          <w:sz w:val="22"/>
          <w:szCs w:val="22"/>
          <w:rFonts w:ascii="Calibri" w:cs="Calibri" w:eastAsia="Calibri" w:hAnsi="Calibri"/>
        </w:rPr>
        <w:t xml:space="preserve">Participar em exercícios de continuidade de negócio e de resposta a incidentes</w:t>
      </w:r>
    </w:p>
    <w:p>
      <w:pPr>
        <w:pStyle w:val="ListParagraph"/>
        <w:numPr>
          <w:ilvl w:val="0"/>
          <w:numId w:val="1"/>
        </w:numPr>
        <w:spacing w:after="80"/>
      </w:pPr>
      <w:r>
        <w:rPr>
          <w:color w:val="374151"/>
          <w:sz w:val="22"/>
          <w:szCs w:val="22"/>
          <w:rFonts w:ascii="Calibri" w:cs="Calibri" w:eastAsia="Calibri" w:hAnsi="Calibri"/>
        </w:rPr>
        <w:t xml:space="preserve">Aprovar os pedidos de acesso a sistemas e dados da sua área</w:t>
      </w:r>
    </w:p>
    <w:p>
      <w:pPr>
        <w:pStyle w:val="Heading2"/>
        <w:spacing w:before="320" w:after="160"/>
      </w:pPr>
      <w:r>
        <w:rPr>
          <w:b/>
          <w:bCs/>
          <w:color w:val="1e3a8a"/>
          <w:sz w:val="28"/>
          <w:szCs w:val="28"/>
          <w:rFonts w:ascii="Calibri" w:cs="Calibri" w:eastAsia="Calibri" w:hAnsi="Calibri"/>
        </w:rPr>
        <w:t xml:space="preserve">5.5. Todos os colaboradores</w:t>
      </w:r>
    </w:p>
    <w:p>
      <w:pPr>
        <w:spacing w:after="160"/>
      </w:pPr>
      <w:r>
        <w:rPr>
          <w:color w:val="374151"/>
          <w:sz w:val="22"/>
          <w:szCs w:val="22"/>
          <w:rFonts w:ascii="Calibri" w:cs="Calibri" w:eastAsia="Calibri" w:hAnsi="Calibri"/>
        </w:rPr>
        <w:t xml:space="preserve">Todos os colaboradores, independentemente da sua categoria ou vínculo contratual, têm as seguintes responsabilidades:</w:t>
      </w:r>
    </w:p>
    <w:p>
      <w:pPr>
        <w:pStyle w:val="ListParagraph"/>
        <w:numPr>
          <w:ilvl w:val="0"/>
          <w:numId w:val="1"/>
        </w:numPr>
        <w:spacing w:after="80"/>
      </w:pPr>
      <w:r>
        <w:rPr>
          <w:color w:val="374151"/>
          <w:sz w:val="22"/>
          <w:szCs w:val="22"/>
          <w:rFonts w:ascii="Calibri" w:cs="Calibri" w:eastAsia="Calibri" w:hAnsi="Calibri"/>
        </w:rPr>
        <w:t xml:space="preserve">Conhecer e cumprir esta política e todos os procedimentos de segurança associados</w:t>
      </w:r>
    </w:p>
    <w:p>
      <w:pPr>
        <w:pStyle w:val="ListParagraph"/>
        <w:numPr>
          <w:ilvl w:val="0"/>
          <w:numId w:val="1"/>
        </w:numPr>
        <w:spacing w:after="80"/>
      </w:pPr>
      <w:r>
        <w:rPr>
          <w:color w:val="374151"/>
          <w:sz w:val="22"/>
          <w:szCs w:val="22"/>
          <w:rFonts w:ascii="Calibri" w:cs="Calibri" w:eastAsia="Calibri" w:hAnsi="Calibri"/>
        </w:rPr>
        <w:t xml:space="preserve">Participar nas formações de cibersegurança obrigatórias e nos exercícios de simulação</w:t>
      </w:r>
    </w:p>
    <w:p>
      <w:pPr>
        <w:pStyle w:val="ListParagraph"/>
        <w:numPr>
          <w:ilvl w:val="0"/>
          <w:numId w:val="1"/>
        </w:numPr>
        <w:spacing w:after="80"/>
      </w:pPr>
      <w:r>
        <w:rPr>
          <w:color w:val="374151"/>
          <w:sz w:val="22"/>
          <w:szCs w:val="22"/>
          <w:rFonts w:ascii="Calibri" w:cs="Calibri" w:eastAsia="Calibri" w:hAnsi="Calibri"/>
        </w:rPr>
        <w:t xml:space="preserve">Reportar imediatamente incidentes, anomalias ou suspeitas ao responsável de cibersegurança</w:t>
      </w:r>
    </w:p>
    <w:p>
      <w:pPr>
        <w:pStyle w:val="ListParagraph"/>
        <w:numPr>
          <w:ilvl w:val="0"/>
          <w:numId w:val="1"/>
        </w:numPr>
        <w:spacing w:after="80"/>
      </w:pPr>
      <w:r>
        <w:rPr>
          <w:color w:val="374151"/>
          <w:sz w:val="22"/>
          <w:szCs w:val="22"/>
          <w:rFonts w:ascii="Calibri" w:cs="Calibri" w:eastAsia="Calibri" w:hAnsi="Calibri"/>
        </w:rPr>
        <w:t xml:space="preserve">Proteger as credenciais de acesso e nunca as partilhar com terceiros</w:t>
      </w:r>
    </w:p>
    <w:p>
      <w:pPr>
        <w:pStyle w:val="ListParagraph"/>
        <w:numPr>
          <w:ilvl w:val="0"/>
          <w:numId w:val="1"/>
        </w:numPr>
        <w:spacing w:after="80"/>
      </w:pPr>
      <w:r>
        <w:rPr>
          <w:color w:val="374151"/>
          <w:sz w:val="22"/>
          <w:szCs w:val="22"/>
          <w:rFonts w:ascii="Calibri" w:cs="Calibri" w:eastAsia="Calibri" w:hAnsi="Calibri"/>
        </w:rPr>
        <w:t xml:space="preserve">Utilizar os sistemas de informação apenas para os fins profissionais autorizados</w:t>
      </w:r>
    </w:p>
    <w:p>
      <w:pPr>
        <w:pStyle w:val="ListParagraph"/>
        <w:numPr>
          <w:ilvl w:val="0"/>
          <w:numId w:val="1"/>
        </w:numPr>
        <w:spacing w:after="80"/>
      </w:pPr>
      <w:r>
        <w:rPr>
          <w:color w:val="374151"/>
          <w:sz w:val="22"/>
          <w:szCs w:val="22"/>
          <w:rFonts w:ascii="Calibri" w:cs="Calibri" w:eastAsia="Calibri" w:hAnsi="Calibri"/>
        </w:rPr>
        <w:t xml:space="preserve">Bloquear o ecrã sempre que se ausentem do posto de trabalho</w:t>
      </w:r>
    </w:p>
    <w:p>
      <w:pPr>
        <w:pStyle w:val="ListParagraph"/>
        <w:numPr>
          <w:ilvl w:val="0"/>
          <w:numId w:val="1"/>
        </w:numPr>
        <w:spacing w:after="80"/>
      </w:pPr>
      <w:r>
        <w:rPr>
          <w:color w:val="374151"/>
          <w:sz w:val="22"/>
          <w:szCs w:val="22"/>
          <w:rFonts w:ascii="Calibri" w:cs="Calibri" w:eastAsia="Calibri" w:hAnsi="Calibri"/>
        </w:rPr>
        <w:t xml:space="preserve">Tratar os dados com confidencialidade, mesmo após cessação do vínculo laboral</w:t>
      </w:r>
    </w:p>
    <w:p>
      <w:pPr>
        <w:shd w:color="dbeafe" w:val="solid"/>
        <w:spacing w:before="160" w:after="160"/>
        <w:ind w:left="360" w:right="360"/>
      </w:pPr>
      <w:r>
        <w:rPr>
          <w:i/>
          <w:iCs/>
          <w:color w:val="1e3a8a"/>
          <w:sz w:val="22"/>
          <w:szCs w:val="22"/>
          <w:rFonts w:ascii="Calibri" w:cs="Calibri" w:eastAsia="Calibri" w:hAnsi="Calibri"/>
        </w:rPr>
        <w:t xml:space="preserve">Art. 25.º n.º 1 do DL 125/2025 — os membros dos órgãos de direção, administração ou gestão respondem, nos termos gerais, pelo incumprimento das obrigações de cibersegurança.</w:t>
      </w:r>
    </w:p>
    <w:p>
      <w:pPr>
        <w:pStyle w:val="Heading1"/>
        <w:spacing w:before="400" w:after="200"/>
      </w:pPr>
      <w:r>
        <w:rPr>
          <w:b/>
          <w:bCs/>
          <w:color w:val="1e3a8a"/>
          <w:sz w:val="32"/>
          <w:szCs w:val="32"/>
          <w:rFonts w:ascii="Calibri" w:cs="Calibri" w:eastAsia="Calibri" w:hAnsi="Calibri"/>
        </w:rPr>
        <w:t xml:space="preserve">6. Gestão de riscos de cibersegurança</w:t>
      </w:r>
    </w:p>
    <w:p>
      <w:pPr>
        <w:spacing w:after="160"/>
      </w:pPr>
      <w:r>
        <w:rPr>
          <w:color w:val="374151"/>
          <w:sz w:val="22"/>
          <w:szCs w:val="22"/>
          <w:rFonts w:ascii="Calibri" w:cs="Calibri" w:eastAsia="Calibri" w:hAnsi="Calibri"/>
        </w:rPr>
        <w:t xml:space="preserve">A organização adota uma abordagem sistemática e baseada em risco para a gestão da cibersegurança, conforme exigido pelo Art. 26.º do DL 125/2025. A gestão de riscos é um processo contínuo que suporta todas as decisões em matéria de segurança.</w:t>
      </w:r>
    </w:p>
    <w:p>
      <w:pPr>
        <w:pStyle w:val="Heading2"/>
        <w:spacing w:before="320" w:after="160"/>
      </w:pPr>
      <w:r>
        <w:rPr>
          <w:b/>
          <w:bCs/>
          <w:color w:val="1e3a8a"/>
          <w:sz w:val="28"/>
          <w:szCs w:val="28"/>
          <w:rFonts w:ascii="Calibri" w:cs="Calibri" w:eastAsia="Calibri" w:hAnsi="Calibri"/>
        </w:rPr>
        <w:t xml:space="preserve">6.1. Metodologia</w:t>
      </w:r>
    </w:p>
    <w:p>
      <w:pPr>
        <w:spacing w:after="160"/>
      </w:pPr>
      <w:r>
        <w:rPr>
          <w:color w:val="374151"/>
          <w:sz w:val="22"/>
          <w:szCs w:val="22"/>
          <w:rFonts w:ascii="Calibri" w:cs="Calibri" w:eastAsia="Calibri" w:hAnsi="Calibri"/>
        </w:rPr>
        <w:t xml:space="preserve">A avaliação de riscos de cibersegurança segue uma metodologia documentada e aprovada pelo órgão de gestão, que inclui as seguintes etapas:</w:t>
      </w:r>
    </w:p>
    <w:p>
      <w:pPr>
        <w:pStyle w:val="ListParagraph"/>
        <w:numPr>
          <w:ilvl w:val="0"/>
          <w:numId w:val="1"/>
        </w:numPr>
        <w:spacing w:after="80"/>
      </w:pPr>
      <w:r>
        <w:rPr>
          <w:color w:val="374151"/>
          <w:sz w:val="22"/>
          <w:szCs w:val="22"/>
          <w:rFonts w:ascii="Calibri" w:cs="Calibri" w:eastAsia="Calibri" w:hAnsi="Calibri"/>
        </w:rPr>
        <w:t xml:space="preserve">Identificação e inventariação de ativos de informação (hardware, software, dados, processos)</w:t>
      </w:r>
    </w:p>
    <w:p>
      <w:pPr>
        <w:pStyle w:val="ListParagraph"/>
        <w:numPr>
          <w:ilvl w:val="0"/>
          <w:numId w:val="1"/>
        </w:numPr>
        <w:spacing w:after="80"/>
      </w:pPr>
      <w:r>
        <w:rPr>
          <w:color w:val="374151"/>
          <w:sz w:val="22"/>
          <w:szCs w:val="22"/>
          <w:rFonts w:ascii="Calibri" w:cs="Calibri" w:eastAsia="Calibri" w:hAnsi="Calibri"/>
        </w:rPr>
        <w:t xml:space="preserve">Identificação de ameaças relevantes e vulnerabilidades associadas a cada ativo</w:t>
      </w:r>
    </w:p>
    <w:p>
      <w:pPr>
        <w:pStyle w:val="ListParagraph"/>
        <w:numPr>
          <w:ilvl w:val="0"/>
          <w:numId w:val="1"/>
        </w:numPr>
        <w:spacing w:after="80"/>
      </w:pPr>
      <w:r>
        <w:rPr>
          <w:color w:val="374151"/>
          <w:sz w:val="22"/>
          <w:szCs w:val="22"/>
          <w:rFonts w:ascii="Calibri" w:cs="Calibri" w:eastAsia="Calibri" w:hAnsi="Calibri"/>
        </w:rPr>
        <w:t xml:space="preserve">Avaliação da probabilidade de ocorrência e do impacto potencial de cada risco</w:t>
      </w:r>
    </w:p>
    <w:p>
      <w:pPr>
        <w:pStyle w:val="ListParagraph"/>
        <w:numPr>
          <w:ilvl w:val="0"/>
          <w:numId w:val="1"/>
        </w:numPr>
        <w:spacing w:after="80"/>
      </w:pPr>
      <w:r>
        <w:rPr>
          <w:color w:val="374151"/>
          <w:sz w:val="22"/>
          <w:szCs w:val="22"/>
          <w:rFonts w:ascii="Calibri" w:cs="Calibri" w:eastAsia="Calibri" w:hAnsi="Calibri"/>
        </w:rPr>
        <w:t xml:space="preserve">Classificação dos riscos numa matriz de risco (probabilidade × impacto)</w:t>
      </w:r>
    </w:p>
    <w:p>
      <w:pPr>
        <w:pStyle w:val="ListParagraph"/>
        <w:numPr>
          <w:ilvl w:val="0"/>
          <w:numId w:val="1"/>
        </w:numPr>
        <w:spacing w:after="80"/>
      </w:pPr>
      <w:r>
        <w:rPr>
          <w:color w:val="374151"/>
          <w:sz w:val="22"/>
          <w:szCs w:val="22"/>
          <w:rFonts w:ascii="Calibri" w:cs="Calibri" w:eastAsia="Calibri" w:hAnsi="Calibri"/>
        </w:rPr>
        <w:t xml:space="preserve">Definição de estratégias de tratamento: mitigar, aceitar, transferir ou evitar</w:t>
      </w:r>
    </w:p>
    <w:p>
      <w:pPr>
        <w:pStyle w:val="ListParagraph"/>
        <w:numPr>
          <w:ilvl w:val="0"/>
          <w:numId w:val="1"/>
        </w:numPr>
        <w:spacing w:after="80"/>
      </w:pPr>
      <w:r>
        <w:rPr>
          <w:color w:val="374151"/>
          <w:sz w:val="22"/>
          <w:szCs w:val="22"/>
          <w:rFonts w:ascii="Calibri" w:cs="Calibri" w:eastAsia="Calibri" w:hAnsi="Calibri"/>
        </w:rPr>
        <w:t xml:space="preserve">Implementação e monitorização das medidas de tratamento selecionadas</w:t>
      </w:r>
    </w:p>
    <w:p>
      <w:pPr>
        <w:pStyle w:val="ListParagraph"/>
        <w:numPr>
          <w:ilvl w:val="0"/>
          <w:numId w:val="1"/>
        </w:numPr>
        <w:spacing w:after="80"/>
      </w:pPr>
      <w:r>
        <w:rPr>
          <w:color w:val="374151"/>
          <w:sz w:val="22"/>
          <w:szCs w:val="22"/>
          <w:rFonts w:ascii="Calibri" w:cs="Calibri" w:eastAsia="Calibri" w:hAnsi="Calibri"/>
        </w:rPr>
        <w:t xml:space="preserve">Revisão periódica dos resultados e atualização do registo de riscos</w:t>
      </w:r>
    </w:p>
    <w:p>
      <w:pPr>
        <w:pStyle w:val="Heading2"/>
        <w:spacing w:before="320" w:after="160"/>
      </w:pPr>
      <w:r>
        <w:rPr>
          <w:b/>
          <w:bCs/>
          <w:color w:val="1e3a8a"/>
          <w:sz w:val="28"/>
          <w:szCs w:val="28"/>
          <w:rFonts w:ascii="Calibri" w:cs="Calibri" w:eastAsia="Calibri" w:hAnsi="Calibri"/>
        </w:rPr>
        <w:t xml:space="preserve">6.2. Critérios de avaliação</w:t>
      </w:r>
    </w:p>
    <w:p>
      <w:pPr>
        <w:spacing w:after="160"/>
      </w:pPr>
      <w:r>
        <w:rPr>
          <w:color w:val="374151"/>
          <w:sz w:val="22"/>
          <w:szCs w:val="22"/>
          <w:rFonts w:ascii="Calibri" w:cs="Calibri" w:eastAsia="Calibri" w:hAnsi="Calibri"/>
        </w:rPr>
        <w:t xml:space="preserve">Na avaliação dos riscos, a organização tem em conta os fatores previstos no Art. 26.º n.º 3 do DL 125/2025, nomeadamente:</w:t>
      </w:r>
    </w:p>
    <w:p>
      <w:pPr>
        <w:pStyle w:val="ListParagraph"/>
        <w:numPr>
          <w:ilvl w:val="0"/>
          <w:numId w:val="1"/>
        </w:numPr>
        <w:spacing w:after="80"/>
      </w:pPr>
      <w:r>
        <w:rPr>
          <w:color w:val="374151"/>
          <w:sz w:val="22"/>
          <w:szCs w:val="22"/>
          <w:rFonts w:ascii="Calibri" w:cs="Calibri" w:eastAsia="Calibri" w:hAnsi="Calibri"/>
        </w:rPr>
        <w:t xml:space="preserve">O grau de exposição a riscos da entidade e a sua situação face a ameaças conhecidas</w:t>
      </w:r>
    </w:p>
    <w:p>
      <w:pPr>
        <w:pStyle w:val="ListParagraph"/>
        <w:numPr>
          <w:ilvl w:val="0"/>
          <w:numId w:val="1"/>
        </w:numPr>
        <w:spacing w:after="80"/>
      </w:pPr>
      <w:r>
        <w:rPr>
          <w:color w:val="374151"/>
          <w:sz w:val="22"/>
          <w:szCs w:val="22"/>
          <w:rFonts w:ascii="Calibri" w:cs="Calibri" w:eastAsia="Calibri" w:hAnsi="Calibri"/>
        </w:rPr>
        <w:t xml:space="preserve">A dimensão da entidade e a probabilidade de ocorrência de incidentes de cibersegurança</w:t>
      </w:r>
    </w:p>
    <w:p>
      <w:pPr>
        <w:pStyle w:val="ListParagraph"/>
        <w:numPr>
          <w:ilvl w:val="0"/>
          <w:numId w:val="1"/>
        </w:numPr>
        <w:spacing w:after="80"/>
      </w:pPr>
      <w:r>
        <w:rPr>
          <w:color w:val="374151"/>
          <w:sz w:val="22"/>
          <w:szCs w:val="22"/>
          <w:rFonts w:ascii="Calibri" w:cs="Calibri" w:eastAsia="Calibri" w:hAnsi="Calibri"/>
        </w:rPr>
        <w:t xml:space="preserve">A gravidade dos incidentes, incluindo o impacto económico, social e na reputação</w:t>
      </w:r>
    </w:p>
    <w:p>
      <w:pPr>
        <w:pStyle w:val="ListParagraph"/>
        <w:numPr>
          <w:ilvl w:val="0"/>
          <w:numId w:val="1"/>
        </w:numPr>
        <w:spacing w:after="80"/>
      </w:pPr>
      <w:r>
        <w:rPr>
          <w:color w:val="374151"/>
          <w:sz w:val="22"/>
          <w:szCs w:val="22"/>
          <w:rFonts w:ascii="Calibri" w:cs="Calibri" w:eastAsia="Calibri" w:hAnsi="Calibri"/>
        </w:rPr>
        <w:t xml:space="preserve">O impacto para destinatários dos serviços e para outras entidades e setores interdependentes</w:t>
      </w:r>
    </w:p>
    <w:p>
      <w:pPr>
        <w:pStyle w:val="ListParagraph"/>
        <w:numPr>
          <w:ilvl w:val="0"/>
          <w:numId w:val="1"/>
        </w:numPr>
        <w:spacing w:after="80"/>
      </w:pPr>
      <w:r>
        <w:rPr>
          <w:color w:val="374151"/>
          <w:sz w:val="22"/>
          <w:szCs w:val="22"/>
          <w:rFonts w:ascii="Calibri" w:cs="Calibri" w:eastAsia="Calibri" w:hAnsi="Calibri"/>
        </w:rPr>
        <w:t xml:space="preserve">O estado da arte das medidas de gestão de riscos disponíveis</w:t>
      </w:r>
    </w:p>
    <w:p>
      <w:pPr>
        <w:pStyle w:val="ListParagraph"/>
        <w:numPr>
          <w:ilvl w:val="0"/>
          <w:numId w:val="1"/>
        </w:numPr>
        <w:spacing w:after="80"/>
      </w:pPr>
      <w:r>
        <w:rPr>
          <w:color w:val="374151"/>
          <w:sz w:val="22"/>
          <w:szCs w:val="22"/>
          <w:rFonts w:ascii="Calibri" w:cs="Calibri" w:eastAsia="Calibri" w:hAnsi="Calibri"/>
        </w:rPr>
        <w:t xml:space="preserve">Os custos de implementação proporcionais ao nível de risco identificado</w:t>
      </w:r>
    </w:p>
    <w:p>
      <w:pPr>
        <w:pStyle w:val="Heading2"/>
        <w:spacing w:before="320" w:after="160"/>
      </w:pPr>
      <w:r>
        <w:rPr>
          <w:b/>
          <w:bCs/>
          <w:color w:val="1e3a8a"/>
          <w:sz w:val="28"/>
          <w:szCs w:val="28"/>
          <w:rFonts w:ascii="Calibri" w:cs="Calibri" w:eastAsia="Calibri" w:hAnsi="Calibri"/>
        </w:rPr>
        <w:t xml:space="preserve">6.3. Periodicidade</w:t>
      </w:r>
    </w:p>
    <w:p>
      <w:pPr>
        <w:spacing w:after="160"/>
      </w:pPr>
      <w:r>
        <w:rPr>
          <w:color w:val="374151"/>
          <w:sz w:val="22"/>
          <w:szCs w:val="22"/>
          <w:rFonts w:ascii="Calibri" w:cs="Calibri" w:eastAsia="Calibri" w:hAnsi="Calibri"/>
        </w:rPr>
        <w:t xml:space="preserve">A avaliação de riscos é realizada pelo menos uma vez por ano. Deve ser igualmente realizada ou atualizada sempre que ocorram alterações significativas, designadamente:</w:t>
      </w:r>
    </w:p>
    <w:p>
      <w:pPr>
        <w:pStyle w:val="ListParagraph"/>
        <w:numPr>
          <w:ilvl w:val="0"/>
          <w:numId w:val="1"/>
        </w:numPr>
        <w:spacing w:after="80"/>
      </w:pPr>
      <w:r>
        <w:rPr>
          <w:color w:val="374151"/>
          <w:sz w:val="22"/>
          <w:szCs w:val="22"/>
          <w:rFonts w:ascii="Calibri" w:cs="Calibri" w:eastAsia="Calibri" w:hAnsi="Calibri"/>
        </w:rPr>
        <w:t xml:space="preserve">Alterações relevantes na infraestrutura tecnológica ou nos sistemas de informação</w:t>
      </w:r>
    </w:p>
    <w:p>
      <w:pPr>
        <w:pStyle w:val="ListParagraph"/>
        <w:numPr>
          <w:ilvl w:val="0"/>
          <w:numId w:val="1"/>
        </w:numPr>
        <w:spacing w:after="80"/>
      </w:pPr>
      <w:r>
        <w:rPr>
          <w:color w:val="374151"/>
          <w:sz w:val="22"/>
          <w:szCs w:val="22"/>
          <w:rFonts w:ascii="Calibri" w:cs="Calibri" w:eastAsia="Calibri" w:hAnsi="Calibri"/>
        </w:rPr>
        <w:t xml:space="preserve">Introdução de novos serviços, processos ou modelos de negócio</w:t>
      </w:r>
    </w:p>
    <w:p>
      <w:pPr>
        <w:pStyle w:val="ListParagraph"/>
        <w:numPr>
          <w:ilvl w:val="0"/>
          <w:numId w:val="1"/>
        </w:numPr>
        <w:spacing w:after="80"/>
      </w:pPr>
      <w:r>
        <w:rPr>
          <w:color w:val="374151"/>
          <w:sz w:val="22"/>
          <w:szCs w:val="22"/>
          <w:rFonts w:ascii="Calibri" w:cs="Calibri" w:eastAsia="Calibri" w:hAnsi="Calibri"/>
        </w:rPr>
        <w:t xml:space="preserve">Identificação de novas ameaças ou vulnerabilidades com impacto potencial significativo</w:t>
      </w:r>
    </w:p>
    <w:p>
      <w:pPr>
        <w:pStyle w:val="ListParagraph"/>
        <w:numPr>
          <w:ilvl w:val="0"/>
          <w:numId w:val="1"/>
        </w:numPr>
        <w:spacing w:after="80"/>
      </w:pPr>
      <w:r>
        <w:rPr>
          <w:color w:val="374151"/>
          <w:sz w:val="22"/>
          <w:szCs w:val="22"/>
          <w:rFonts w:ascii="Calibri" w:cs="Calibri" w:eastAsia="Calibri" w:hAnsi="Calibri"/>
        </w:rPr>
        <w:t xml:space="preserve">Ocorrência de incidentes de cibersegurança graves</w:t>
      </w:r>
    </w:p>
    <w:p>
      <w:pPr>
        <w:pStyle w:val="ListParagraph"/>
        <w:numPr>
          <w:ilvl w:val="0"/>
          <w:numId w:val="1"/>
        </w:numPr>
        <w:spacing w:after="80"/>
      </w:pPr>
      <w:r>
        <w:rPr>
          <w:color w:val="374151"/>
          <w:sz w:val="22"/>
          <w:szCs w:val="22"/>
          <w:rFonts w:ascii="Calibri" w:cs="Calibri" w:eastAsia="Calibri" w:hAnsi="Calibri"/>
        </w:rPr>
        <w:t xml:space="preserve">Alterações no enquadramento legal ou regulamentar aplicável</w:t>
      </w:r>
    </w:p>
    <w:p>
      <w:pPr>
        <w:shd w:color="dbeafe" w:val="solid"/>
        <w:spacing w:before="160" w:after="160"/>
        <w:ind w:left="360" w:right="360"/>
      </w:pPr>
      <w:r>
        <w:rPr>
          <w:i/>
          <w:iCs/>
          <w:color w:val="1e3a8a"/>
          <w:sz w:val="22"/>
          <w:szCs w:val="22"/>
          <w:rFonts w:ascii="Calibri" w:cs="Calibri" w:eastAsia="Calibri" w:hAnsi="Calibri"/>
        </w:rPr>
        <w:t xml:space="preserve">Art. 26.º do DL 125/2025 — as entidades devem adotar medidas técnicas, operacionais e organizativas, proporcionadas e baseadas em risco, para gerir os riscos dos seus sistemas de rede e informação.</w:t>
      </w:r>
    </w:p>
    <w:p>
      <w:pPr>
        <w:pStyle w:val="Heading1"/>
        <w:spacing w:before="400" w:after="200"/>
      </w:pPr>
      <w:r>
        <w:rPr>
          <w:b/>
          <w:bCs/>
          <w:color w:val="1e3a8a"/>
          <w:sz w:val="32"/>
          <w:szCs w:val="32"/>
          <w:rFonts w:ascii="Calibri" w:cs="Calibri" w:eastAsia="Calibri" w:hAnsi="Calibri"/>
        </w:rPr>
        <w:t xml:space="preserve">7. Medidas de cibersegurança</w:t>
      </w:r>
    </w:p>
    <w:p>
      <w:pPr>
        <w:spacing w:after="160"/>
      </w:pPr>
      <w:r>
        <w:rPr>
          <w:color w:val="374151"/>
          <w:sz w:val="22"/>
          <w:szCs w:val="22"/>
          <w:rFonts w:ascii="Calibri" w:cs="Calibri" w:eastAsia="Calibri" w:hAnsi="Calibri"/>
        </w:rPr>
        <w:t xml:space="preserve">Em conformidade com o Art. 27.º do DL 125/2025, a organização implementa e mantém as seguintes medidas mínimas de cibersegurança, proporcional aos riscos identificados e ao estado da arte disponível:</w:t>
      </w:r>
    </w:p>
    <w:p>
      <w:pPr>
        <w:pStyle w:val="Heading2"/>
        <w:spacing w:before="320" w:after="160"/>
      </w:pPr>
      <w:r>
        <w:rPr>
          <w:b/>
          <w:bCs/>
          <w:color w:val="1e3a8a"/>
          <w:sz w:val="28"/>
          <w:szCs w:val="28"/>
          <w:rFonts w:ascii="Calibri" w:cs="Calibri" w:eastAsia="Calibri" w:hAnsi="Calibri"/>
        </w:rPr>
        <w:t xml:space="preserve">7.1. Tratamento de incidentes (Art. 27.º alínea a)</w:t>
      </w:r>
    </w:p>
    <w:p>
      <w:pPr>
        <w:spacing w:after="160"/>
      </w:pPr>
      <w:r>
        <w:rPr>
          <w:color w:val="374151"/>
          <w:sz w:val="22"/>
          <w:szCs w:val="22"/>
          <w:rFonts w:ascii="Calibri" w:cs="Calibri" w:eastAsia="Calibri" w:hAnsi="Calibri"/>
        </w:rPr>
        <w:t xml:space="preserve">A organização dispõe de procedimentos documentados para a deteção, classificação, contenção, erradicação e recuperação de incidentes de cibersegurança. Estão definidos processos claros de notificação ao CNCS dentro dos prazos estabelecidos no Art. 40.º do DL 125/2025 (pré-aviso em 24 horas, notificação em 72 horas, relatório final em 30 dias).</w:t>
      </w:r>
    </w:p>
    <w:p>
      <w:pPr>
        <w:spacing w:after="160"/>
      </w:pPr>
      <w:r>
        <w:rPr>
          <w:color w:val="374151"/>
          <w:sz w:val="22"/>
          <w:szCs w:val="22"/>
          <w:rFonts w:ascii="Calibri" w:cs="Calibri" w:eastAsia="Calibri" w:hAnsi="Calibri"/>
        </w:rPr>
        <w:t xml:space="preserve">Os procedimentos de tratamento de incidentes estão descritos em detalhe no Plano de Resposta a Incidentes, documento complementar a esta política. Todos os incidentes, incluindo os que não atingem o limiar de notificação obrigatória, são registados internamente para fins de análise e melhoria contínua.</w:t>
      </w:r>
    </w:p>
    <w:p>
      <w:pPr>
        <w:pStyle w:val="Heading2"/>
        <w:spacing w:before="320" w:after="160"/>
      </w:pPr>
      <w:r>
        <w:rPr>
          <w:b/>
          <w:bCs/>
          <w:color w:val="1e3a8a"/>
          <w:sz w:val="28"/>
          <w:szCs w:val="28"/>
          <w:rFonts w:ascii="Calibri" w:cs="Calibri" w:eastAsia="Calibri" w:hAnsi="Calibri"/>
        </w:rPr>
        <w:t xml:space="preserve">7.2. Continuidade das atividades (Art. 27.º alínea b)</w:t>
      </w:r>
    </w:p>
    <w:p>
      <w:pPr>
        <w:spacing w:after="160"/>
      </w:pPr>
      <w:r>
        <w:rPr>
          <w:color w:val="374151"/>
          <w:sz w:val="22"/>
          <w:szCs w:val="22"/>
          <w:rFonts w:ascii="Calibri" w:cs="Calibri" w:eastAsia="Calibri" w:hAnsi="Calibri"/>
        </w:rPr>
        <w:t xml:space="preserve">A organização dispõe de um Plano de Continuidade de Negócio (PCN) e de um Plano de Recuperação de Desastres (PRD), com objetivos de recuperação (RTO e RPO) definidos por serviço. A política de cópias de segurança garante a existência de réplicas íntegras, armazenadas em locais distintos e testadas regularmente.</w:t>
      </w:r>
    </w:p>
    <w:p>
      <w:pPr>
        <w:spacing w:after="160"/>
      </w:pPr>
      <w:r>
        <w:rPr>
          <w:color w:val="374151"/>
          <w:sz w:val="22"/>
          <w:szCs w:val="22"/>
          <w:rFonts w:ascii="Calibri" w:cs="Calibri" w:eastAsia="Calibri" w:hAnsi="Calibri"/>
        </w:rPr>
        <w:t xml:space="preserve">Os planos são testados periodicamente através de exercícios de simulação, com os resultados documentados e utilizados para melhorias. A frequência mínima de testes é anual para o PCN e semestral para as cópias de segurança.</w:t>
      </w:r>
    </w:p>
    <w:p>
      <w:pPr>
        <w:pStyle w:val="Heading2"/>
        <w:spacing w:before="320" w:after="160"/>
      </w:pPr>
      <w:r>
        <w:rPr>
          <w:b/>
          <w:bCs/>
          <w:color w:val="1e3a8a"/>
          <w:sz w:val="28"/>
          <w:szCs w:val="28"/>
          <w:rFonts w:ascii="Calibri" w:cs="Calibri" w:eastAsia="Calibri" w:hAnsi="Calibri"/>
        </w:rPr>
        <w:t xml:space="preserve">7.3. Segurança da cadeia de abastecimento (Art. 27.º alínea c)</w:t>
      </w:r>
    </w:p>
    <w:p>
      <w:pPr>
        <w:spacing w:after="160"/>
      </w:pPr>
      <w:r>
        <w:rPr>
          <w:color w:val="374151"/>
          <w:sz w:val="22"/>
          <w:szCs w:val="22"/>
          <w:rFonts w:ascii="Calibri" w:cs="Calibri" w:eastAsia="Calibri" w:hAnsi="Calibri"/>
        </w:rPr>
        <w:t xml:space="preserve">A organização avalia os riscos de cibersegurança associados à sua cadeia de abastecimento, incluindo fornecedores de serviços de tecnologia, prestadores de serviços geridos e fornecedores de software. Os contratos com fornecedores incluem cláusulas de segurança adequadas ao nível de risco.</w:t>
      </w:r>
    </w:p>
    <w:p>
      <w:pPr>
        <w:spacing w:after="160"/>
      </w:pPr>
      <w:r>
        <w:rPr>
          <w:color w:val="374151"/>
          <w:sz w:val="22"/>
          <w:szCs w:val="22"/>
          <w:rFonts w:ascii="Calibri" w:cs="Calibri" w:eastAsia="Calibri" w:hAnsi="Calibri"/>
        </w:rPr>
        <w:t xml:space="preserve">A avaliação de fornecedores considera as práticas de segurança da informação, a capacidade de resposta a incidentes e a conformidade com requisitos legais aplicáveis. Os detalhes deste processo constam do Procedimento de Gestão de Fornecedores.</w:t>
      </w:r>
    </w:p>
    <w:p>
      <w:pPr>
        <w:pStyle w:val="Heading2"/>
        <w:spacing w:before="320" w:after="160"/>
      </w:pPr>
      <w:r>
        <w:rPr>
          <w:b/>
          <w:bCs/>
          <w:color w:val="1e3a8a"/>
          <w:sz w:val="28"/>
          <w:szCs w:val="28"/>
          <w:rFonts w:ascii="Calibri" w:cs="Calibri" w:eastAsia="Calibri" w:hAnsi="Calibri"/>
        </w:rPr>
        <w:t xml:space="preserve">7.4. Segurança no desenvolvimento e manutenção de sistemas (Art. 27.º alínea d)</w:t>
      </w:r>
    </w:p>
    <w:p>
      <w:pPr>
        <w:spacing w:after="160"/>
      </w:pPr>
      <w:r>
        <w:rPr>
          <w:color w:val="374151"/>
          <w:sz w:val="22"/>
          <w:szCs w:val="22"/>
          <w:rFonts w:ascii="Calibri" w:cs="Calibri" w:eastAsia="Calibri" w:hAnsi="Calibri"/>
        </w:rPr>
        <w:t xml:space="preserve">A organização integra requisitos de segurança em todas as fases do ciclo de vida do desenvolvimento de sistemas, desde a fase de análise de requisitos até à manutenção e descomissionamento. As práticas de desenvolvimento seguro incluem revisão de código, análise de vulnerabilidades e testes de penetração antes da colocação em produção.</w:t>
      </w:r>
    </w:p>
    <w:p>
      <w:pPr>
        <w:spacing w:after="160"/>
      </w:pPr>
      <w:r>
        <w:rPr>
          <w:color w:val="374151"/>
          <w:sz w:val="22"/>
          <w:szCs w:val="22"/>
          <w:rFonts w:ascii="Calibri" w:cs="Calibri" w:eastAsia="Calibri" w:hAnsi="Calibri"/>
        </w:rPr>
        <w:t xml:space="preserve">A gestão de vulnerabilidades contempla a monitorização de boletins de segurança, a avaliação do impacto das vulnerabilidades identificadas e a aplicação atempada de correções e atualizações de segurança.</w:t>
      </w:r>
    </w:p>
    <w:p>
      <w:pPr>
        <w:pStyle w:val="Heading2"/>
        <w:spacing w:before="320" w:after="160"/>
      </w:pPr>
      <w:r>
        <w:rPr>
          <w:b/>
          <w:bCs/>
          <w:color w:val="1e3a8a"/>
          <w:sz w:val="28"/>
          <w:szCs w:val="28"/>
          <w:rFonts w:ascii="Calibri" w:cs="Calibri" w:eastAsia="Calibri" w:hAnsi="Calibri"/>
        </w:rPr>
        <w:t xml:space="preserve">7.5. Políticas e procedimentos de avaliação da eficácia (Art. 27.º alínea e)</w:t>
      </w:r>
    </w:p>
    <w:p>
      <w:pPr>
        <w:spacing w:after="160"/>
      </w:pPr>
      <w:r>
        <w:rPr>
          <w:color w:val="374151"/>
          <w:sz w:val="22"/>
          <w:szCs w:val="22"/>
          <w:rFonts w:ascii="Calibri" w:cs="Calibri" w:eastAsia="Calibri" w:hAnsi="Calibri"/>
        </w:rPr>
        <w:t xml:space="preserve">A organização estabelece indicadores de desempenho (KPIs) de cibersegurança e realiza auditorias internas periódicas para avaliar a eficácia das medidas implementadas. Os resultados são reportados ao órgão de gestão e utilizados para a melhoria contínua.</w:t>
      </w:r>
    </w:p>
    <w:p>
      <w:pPr>
        <w:spacing w:after="160"/>
      </w:pPr>
      <w:r>
        <w:rPr>
          <w:color w:val="374151"/>
          <w:sz w:val="22"/>
          <w:szCs w:val="22"/>
          <w:rFonts w:ascii="Calibri" w:cs="Calibri" w:eastAsia="Calibri" w:hAnsi="Calibri"/>
        </w:rPr>
        <w:t xml:space="preserve">As auditorias incluem testes técnicos (como análises de vulnerabilidades e testes de penetração) e revisões organizacionais (como verificação do cumprimento dos procedimentos documentados). A frequência mínima é anual para auditorias internas e bienal para testes de penetração externos.</w:t>
      </w:r>
    </w:p>
    <w:p>
      <w:pPr>
        <w:pStyle w:val="Heading2"/>
        <w:spacing w:before="320" w:after="160"/>
      </w:pPr>
      <w:r>
        <w:rPr>
          <w:b/>
          <w:bCs/>
          <w:color w:val="1e3a8a"/>
          <w:sz w:val="28"/>
          <w:szCs w:val="28"/>
          <w:rFonts w:ascii="Calibri" w:cs="Calibri" w:eastAsia="Calibri" w:hAnsi="Calibri"/>
        </w:rPr>
        <w:t xml:space="preserve">7.6. Formação e higiene cibernética (Art. 27.º alínea f)</w:t>
      </w:r>
    </w:p>
    <w:p>
      <w:pPr>
        <w:spacing w:after="160"/>
      </w:pPr>
      <w:r>
        <w:rPr>
          <w:color w:val="374151"/>
          <w:sz w:val="22"/>
          <w:szCs w:val="22"/>
          <w:rFonts w:ascii="Calibri" w:cs="Calibri" w:eastAsia="Calibri" w:hAnsi="Calibri"/>
        </w:rPr>
        <w:t xml:space="preserve">A organização implementa um programa de formação e sensibilização em cibersegurança dirigido a todos os colaboradores, com conteúdos adaptados aos respetivos papéis e responsabilidades. O órgão de gestão frequenta formação específica sobre governação da cibersegurança e gestão de riscos, conforme exigido pelo Art. 25.º n.º 1 alínea d) do DL 125/2025.</w:t>
      </w:r>
    </w:p>
    <w:p>
      <w:pPr>
        <w:spacing w:after="160"/>
      </w:pPr>
      <w:r>
        <w:rPr>
          <w:color w:val="374151"/>
          <w:sz w:val="22"/>
          <w:szCs w:val="22"/>
          <w:rFonts w:ascii="Calibri" w:cs="Calibri" w:eastAsia="Calibri" w:hAnsi="Calibri"/>
        </w:rPr>
        <w:t xml:space="preserve">A higiene cibernética abrange práticas fundamentais como a gestão segura de palavras-passe, a identificação de tentativas de phishing, a utilização segura de dispositivos móveis e a proteção de dados pessoais. A formação é obrigatória na integração de novos colaboradores e reciclada anualmente.</w:t>
      </w:r>
    </w:p>
    <w:p>
      <w:pPr>
        <w:pStyle w:val="Heading2"/>
        <w:spacing w:before="320" w:after="160"/>
      </w:pPr>
      <w:r>
        <w:rPr>
          <w:b/>
          <w:bCs/>
          <w:color w:val="1e3a8a"/>
          <w:sz w:val="28"/>
          <w:szCs w:val="28"/>
          <w:rFonts w:ascii="Calibri" w:cs="Calibri" w:eastAsia="Calibri" w:hAnsi="Calibri"/>
        </w:rPr>
        <w:t xml:space="preserve">7.7. Criptografia e gestão de chaves (Art. 27.º alínea g)</w:t>
      </w:r>
    </w:p>
    <w:p>
      <w:pPr>
        <w:spacing w:after="160"/>
      </w:pPr>
      <w:r>
        <w:rPr>
          <w:color w:val="374151"/>
          <w:sz w:val="22"/>
          <w:szCs w:val="22"/>
          <w:rFonts w:ascii="Calibri" w:cs="Calibri" w:eastAsia="Calibri" w:hAnsi="Calibri"/>
        </w:rPr>
        <w:t xml:space="preserve">A organização utiliza criptografia para proteger a confidencialidade e integridade dos dados em trânsito e em repouso, em conformidade com o estado da arte e as melhores práticas do setor. Os algoritmos criptográficos utilizados devem ser aprovados pelas autoridades competentes e atualizados sempre que se tornem obsoletos.</w:t>
      </w:r>
    </w:p>
    <w:p>
      <w:pPr>
        <w:spacing w:after="160"/>
      </w:pPr>
      <w:r>
        <w:rPr>
          <w:color w:val="374151"/>
          <w:sz w:val="22"/>
          <w:szCs w:val="22"/>
          <w:rFonts w:ascii="Calibri" w:cs="Calibri" w:eastAsia="Calibri" w:hAnsi="Calibri"/>
        </w:rPr>
        <w:t xml:space="preserve">A gestão de chaves criptográficas segue procedimentos documentados que cobrem a geração, distribuição, armazenamento, renovação e destruição de chaves. O acesso às chaves é restrito e monitorizado.</w:t>
      </w:r>
    </w:p>
    <w:p>
      <w:pPr>
        <w:pStyle w:val="Heading2"/>
        <w:spacing w:before="320" w:after="160"/>
      </w:pPr>
      <w:r>
        <w:rPr>
          <w:b/>
          <w:bCs/>
          <w:color w:val="1e3a8a"/>
          <w:sz w:val="28"/>
          <w:szCs w:val="28"/>
          <w:rFonts w:ascii="Calibri" w:cs="Calibri" w:eastAsia="Calibri" w:hAnsi="Calibri"/>
        </w:rPr>
        <w:t xml:space="preserve">7.8. Segurança dos recursos humanos e controlo de acessos (Art. 27.º alínea h)</w:t>
      </w:r>
    </w:p>
    <w:p>
      <w:pPr>
        <w:spacing w:after="160"/>
      </w:pPr>
      <w:r>
        <w:rPr>
          <w:color w:val="374151"/>
          <w:sz w:val="22"/>
          <w:szCs w:val="22"/>
          <w:rFonts w:ascii="Calibri" w:cs="Calibri" w:eastAsia="Calibri" w:hAnsi="Calibri"/>
        </w:rPr>
        <w:t xml:space="preserve">A organização aplica o princípio do mínimo privilégio na gestão de acessos, garantindo que cada utilizador dispõe apenas das permissões necessárias ao exercício das suas funções. A autenticação multifator (MFA) é obrigatória para o acesso a sistemas críticos e a acessos remotos.</w:t>
      </w:r>
    </w:p>
    <w:p>
      <w:pPr>
        <w:spacing w:after="160"/>
      </w:pPr>
      <w:r>
        <w:rPr>
          <w:color w:val="374151"/>
          <w:sz w:val="22"/>
          <w:szCs w:val="22"/>
          <w:rFonts w:ascii="Calibri" w:cs="Calibri" w:eastAsia="Calibri" w:hAnsi="Calibri"/>
        </w:rPr>
        <w:t xml:space="preserve">Os processos de contratação incluem verificação de antecedentes adequada ao nível de acesso concedido. As credenciais de acesso são desativadas imediatamente após cessação do vínculo laboral ou alteração de funções. Os acessos privilegiados são sujeitos a revisão trimestral.</w:t>
      </w:r>
    </w:p>
    <w:p>
      <w:pPr>
        <w:pStyle w:val="Heading2"/>
        <w:spacing w:before="320" w:after="160"/>
      </w:pPr>
      <w:r>
        <w:rPr>
          <w:b/>
          <w:bCs/>
          <w:color w:val="1e3a8a"/>
          <w:sz w:val="28"/>
          <w:szCs w:val="28"/>
          <w:rFonts w:ascii="Calibri" w:cs="Calibri" w:eastAsia="Calibri" w:hAnsi="Calibri"/>
        </w:rPr>
        <w:t xml:space="preserve">7.9. Autenticação e comunicações seguras (Art. 27.º alínea i)</w:t>
      </w:r>
    </w:p>
    <w:p>
      <w:pPr>
        <w:spacing w:after="160"/>
      </w:pPr>
      <w:r>
        <w:rPr>
          <w:color w:val="374151"/>
          <w:sz w:val="22"/>
          <w:szCs w:val="22"/>
          <w:rFonts w:ascii="Calibri" w:cs="Calibri" w:eastAsia="Calibri" w:hAnsi="Calibri"/>
        </w:rPr>
        <w:t xml:space="preserve">A organização implementa mecanismos de autenticação robustos, com autenticação multifator obrigatória para sistemas de elevada criticidade. As comunicações entre sistemas e com o exterior são protegidas por protocolos criptográficos atualizados.</w:t>
      </w:r>
    </w:p>
    <w:p>
      <w:pPr>
        <w:spacing w:after="160"/>
      </w:pPr>
      <w:r>
        <w:rPr>
          <w:color w:val="374151"/>
          <w:sz w:val="22"/>
          <w:szCs w:val="22"/>
          <w:rFonts w:ascii="Calibri" w:cs="Calibri" w:eastAsia="Calibri" w:hAnsi="Calibri"/>
        </w:rPr>
        <w:t xml:space="preserve">A segmentação de redes e a monitorização do tráfego permitem detetar acessos não autorizados e comportamentos anómalos. Os acessos remotos realizam-se exclusivamente através de ligações VPN com autenticação forte.</w:t>
      </w:r>
    </w:p>
    <w:p>
      <w:pPr>
        <w:shd w:color="dbeafe" w:val="solid"/>
        <w:spacing w:before="160" w:after="160"/>
        <w:ind w:left="360" w:right="360"/>
      </w:pPr>
      <w:r>
        <w:rPr>
          <w:i/>
          <w:iCs/>
          <w:color w:val="1e3a8a"/>
          <w:sz w:val="22"/>
          <w:szCs w:val="22"/>
          <w:rFonts w:ascii="Calibri" w:cs="Calibri" w:eastAsia="Calibri" w:hAnsi="Calibri"/>
        </w:rPr>
        <w:t xml:space="preserve">Art. 27.º do DL 125/2025 — as entidades devem implementar, no mínimo, as nove medidas de gestão de riscos de cibersegurança previstas nas alíneas a) a i) deste artigo.</w:t>
      </w:r>
    </w:p>
    <w:p>
      <w:pPr>
        <w:pStyle w:val="Heading1"/>
        <w:spacing w:before="400" w:after="200"/>
      </w:pPr>
      <w:r>
        <w:rPr>
          <w:b/>
          <w:bCs/>
          <w:color w:val="1e3a8a"/>
          <w:sz w:val="32"/>
          <w:szCs w:val="32"/>
          <w:rFonts w:ascii="Calibri" w:cs="Calibri" w:eastAsia="Calibri" w:hAnsi="Calibri"/>
        </w:rPr>
        <w:t xml:space="preserve">8. Gestão de incidentes</w:t>
      </w:r>
    </w:p>
    <w:p>
      <w:pPr>
        <w:spacing w:after="160"/>
      </w:pPr>
      <w:r>
        <w:rPr>
          <w:color w:val="374151"/>
          <w:sz w:val="22"/>
          <w:szCs w:val="22"/>
          <w:rFonts w:ascii="Calibri" w:cs="Calibri" w:eastAsia="Calibri" w:hAnsi="Calibri"/>
        </w:rPr>
        <w:t xml:space="preserve">A organização dispõe de um processo estruturado de gestão de incidentes de cibersegurança, descrito em detalhe no Plano de Resposta a Incidentes. O presente capítulo estabelece os princípios orientadores e os requisitos de notificação obrigatória.</w:t>
      </w:r>
    </w:p>
    <w:p>
      <w:pPr>
        <w:pStyle w:val="Heading2"/>
        <w:spacing w:before="320" w:after="160"/>
      </w:pPr>
      <w:r>
        <w:rPr>
          <w:b/>
          <w:bCs/>
          <w:color w:val="1e3a8a"/>
          <w:sz w:val="28"/>
          <w:szCs w:val="28"/>
          <w:rFonts w:ascii="Calibri" w:cs="Calibri" w:eastAsia="Calibri" w:hAnsi="Calibri"/>
        </w:rPr>
        <w:t xml:space="preserve">8.1. Classificação de incidentes</w:t>
      </w:r>
    </w:p>
    <w:p>
      <w:pPr>
        <w:spacing w:after="160"/>
      </w:pPr>
      <w:r>
        <w:rPr>
          <w:color w:val="374151"/>
          <w:sz w:val="22"/>
          <w:szCs w:val="22"/>
          <w:rFonts w:ascii="Calibri" w:cs="Calibri" w:eastAsia="Calibri" w:hAnsi="Calibri"/>
        </w:rPr>
        <w:t xml:space="preserve">Os incidentes são classificados segundo a sua gravidade e impacto, com quatro níveis: baixo, médio, alto e crítico. A classificação determina os procedimentos de resposta aplicáveis, os recursos a mobilizar e as obrigações de comunicação interna e externa.</w:t>
      </w:r>
    </w:p>
    <w:p>
      <w:pPr>
        <w:pStyle w:val="ListParagraph"/>
        <w:numPr>
          <w:ilvl w:val="0"/>
          <w:numId w:val="1"/>
        </w:numPr>
        <w:spacing w:after="80"/>
      </w:pPr>
      <w:r>
        <w:rPr>
          <w:color w:val="374151"/>
          <w:sz w:val="22"/>
          <w:szCs w:val="22"/>
          <w:rFonts w:ascii="Calibri" w:cs="Calibri" w:eastAsia="Calibri" w:hAnsi="Calibri"/>
        </w:rPr>
        <w:t xml:space="preserve">Nível baixo: impacto limitado a sistemas não críticos, sem interrupção de serviço</w:t>
      </w:r>
    </w:p>
    <w:p>
      <w:pPr>
        <w:pStyle w:val="ListParagraph"/>
        <w:numPr>
          <w:ilvl w:val="0"/>
          <w:numId w:val="1"/>
        </w:numPr>
        <w:spacing w:after="80"/>
      </w:pPr>
      <w:r>
        <w:rPr>
          <w:color w:val="374151"/>
          <w:sz w:val="22"/>
          <w:szCs w:val="22"/>
          <w:rFonts w:ascii="Calibri" w:cs="Calibri" w:eastAsia="Calibri" w:hAnsi="Calibri"/>
        </w:rPr>
        <w:t xml:space="preserve">Nível médio: impacto em sistemas de suporte, com degradação parcial de serviço</w:t>
      </w:r>
    </w:p>
    <w:p>
      <w:pPr>
        <w:pStyle w:val="ListParagraph"/>
        <w:numPr>
          <w:ilvl w:val="0"/>
          <w:numId w:val="1"/>
        </w:numPr>
        <w:spacing w:after="80"/>
      </w:pPr>
      <w:r>
        <w:rPr>
          <w:color w:val="374151"/>
          <w:sz w:val="22"/>
          <w:szCs w:val="22"/>
          <w:rFonts w:ascii="Calibri" w:cs="Calibri" w:eastAsia="Calibri" w:hAnsi="Calibri"/>
        </w:rPr>
        <w:t xml:space="preserve">Nível alto: impacto em sistemas críticos, com interrupção significativa de serviço</w:t>
      </w:r>
    </w:p>
    <w:p>
      <w:pPr>
        <w:pStyle w:val="ListParagraph"/>
        <w:numPr>
          <w:ilvl w:val="0"/>
          <w:numId w:val="1"/>
        </w:numPr>
        <w:spacing w:after="80"/>
      </w:pPr>
      <w:r>
        <w:rPr>
          <w:color w:val="374151"/>
          <w:sz w:val="22"/>
          <w:szCs w:val="22"/>
          <w:rFonts w:ascii="Calibri" w:cs="Calibri" w:eastAsia="Calibri" w:hAnsi="Calibri"/>
        </w:rPr>
        <w:t xml:space="preserve">Nível crítico: impacto grave em serviços essenciais, com potencial efeito cascata</w:t>
      </w:r>
    </w:p>
    <w:p>
      <w:pPr>
        <w:pStyle w:val="Heading2"/>
        <w:spacing w:before="320" w:after="160"/>
      </w:pPr>
      <w:r>
        <w:rPr>
          <w:b/>
          <w:bCs/>
          <w:color w:val="1e3a8a"/>
          <w:sz w:val="28"/>
          <w:szCs w:val="28"/>
          <w:rFonts w:ascii="Calibri" w:cs="Calibri" w:eastAsia="Calibri" w:hAnsi="Calibri"/>
        </w:rPr>
        <w:t xml:space="preserve">8.2. Processo de resposta</w:t>
      </w:r>
    </w:p>
    <w:p>
      <w:pPr>
        <w:spacing w:after="160"/>
      </w:pPr>
      <w:r>
        <w:rPr>
          <w:color w:val="374151"/>
          <w:sz w:val="22"/>
          <w:szCs w:val="22"/>
          <w:rFonts w:ascii="Calibri" w:cs="Calibri" w:eastAsia="Calibri" w:hAnsi="Calibri"/>
        </w:rPr>
        <w:t xml:space="preserve">O processo de resposta a incidentes compreende as seguintes fases: deteção e identificação, contenção inicial, erradicação da causa raiz, recuperação e restabelecimento do serviço, e análise pós-incidente com identificação de lições aprendidas. Cada fase tem responsáveis designados e procedimentos documentados.</w:t>
      </w:r>
    </w:p>
    <w:p>
      <w:pPr>
        <w:pStyle w:val="Heading2"/>
        <w:spacing w:before="320" w:after="160"/>
      </w:pPr>
      <w:r>
        <w:rPr>
          <w:b/>
          <w:bCs/>
          <w:color w:val="1e3a8a"/>
          <w:sz w:val="28"/>
          <w:szCs w:val="28"/>
          <w:rFonts w:ascii="Calibri" w:cs="Calibri" w:eastAsia="Calibri" w:hAnsi="Calibri"/>
        </w:rPr>
        <w:t xml:space="preserve">8.3. Obrigações de notificação</w:t>
      </w:r>
    </w:p>
    <w:p>
      <w:pPr>
        <w:spacing w:after="160"/>
      </w:pPr>
      <w:r>
        <w:rPr>
          <w:color w:val="374151"/>
          <w:sz w:val="22"/>
          <w:szCs w:val="22"/>
          <w:rFonts w:ascii="Calibri" w:cs="Calibri" w:eastAsia="Calibri" w:hAnsi="Calibri"/>
        </w:rPr>
        <w:t xml:space="preserve">Nos termos do Art. 40.º do DL 125/2025, a organização notifica o CNCS dos incidentes significativos nos seguintes prazos:</w:t>
      </w:r>
    </w:p>
    <w:p>
      <w:pPr>
        <w:pStyle w:val="ListParagraph"/>
        <w:numPr>
          <w:ilvl w:val="0"/>
          <w:numId w:val="1"/>
        </w:numPr>
        <w:spacing w:after="80"/>
      </w:pPr>
      <w:r>
        <w:rPr>
          <w:color w:val="374151"/>
          <w:sz w:val="22"/>
          <w:szCs w:val="22"/>
          <w:rFonts w:ascii="Calibri" w:cs="Calibri" w:eastAsia="Calibri" w:hAnsi="Calibri"/>
        </w:rPr>
        <w:t xml:space="preserve">Pré-aviso: no prazo de 24 horas após tomada de conhecimento do incidente significativo</w:t>
      </w:r>
    </w:p>
    <w:p>
      <w:pPr>
        <w:pStyle w:val="ListParagraph"/>
        <w:numPr>
          <w:ilvl w:val="0"/>
          <w:numId w:val="1"/>
        </w:numPr>
        <w:spacing w:after="80"/>
      </w:pPr>
      <w:r>
        <w:rPr>
          <w:color w:val="374151"/>
          <w:sz w:val="22"/>
          <w:szCs w:val="22"/>
          <w:rFonts w:ascii="Calibri" w:cs="Calibri" w:eastAsia="Calibri" w:hAnsi="Calibri"/>
        </w:rPr>
        <w:t xml:space="preserve">Notificação inicial: no prazo de 72 horas, com avaliação preliminar, gravidade e indicadores de compromisso</w:t>
      </w:r>
    </w:p>
    <w:p>
      <w:pPr>
        <w:pStyle w:val="ListParagraph"/>
        <w:numPr>
          <w:ilvl w:val="0"/>
          <w:numId w:val="1"/>
        </w:numPr>
        <w:spacing w:after="80"/>
      </w:pPr>
      <w:r>
        <w:rPr>
          <w:color w:val="374151"/>
          <w:sz w:val="22"/>
          <w:szCs w:val="22"/>
          <w:rFonts w:ascii="Calibri" w:cs="Calibri" w:eastAsia="Calibri" w:hAnsi="Calibri"/>
        </w:rPr>
        <w:t xml:space="preserve">Relatório final: no prazo de 30 dias após a notificação inicial, com descrição completa e medidas corretivas</w:t>
      </w:r>
    </w:p>
    <w:p>
      <w:pPr>
        <w:spacing w:after="160"/>
      </w:pPr>
      <w:r>
        <w:rPr>
          <w:color w:val="374151"/>
          <w:sz w:val="22"/>
          <w:szCs w:val="22"/>
          <w:rFonts w:ascii="Calibri" w:cs="Calibri" w:eastAsia="Calibri" w:hAnsi="Calibri"/>
        </w:rPr>
        <w:t xml:space="preserve">A organização mantém registo de todos os incidentes, independentemente do limiar de notificação obrigatória, para fins de análise de tendências e melhoria contínua. O registo é conservado por um período mínimo de cinco anos.</w:t>
      </w:r>
    </w:p>
    <w:p>
      <w:pPr>
        <w:shd w:color="dbeafe" w:val="solid"/>
        <w:spacing w:before="160" w:after="160"/>
        <w:ind w:left="360" w:right="360"/>
      </w:pPr>
      <w:r>
        <w:rPr>
          <w:i/>
          <w:iCs/>
          <w:color w:val="1e3a8a"/>
          <w:sz w:val="22"/>
          <w:szCs w:val="22"/>
          <w:rFonts w:ascii="Calibri" w:cs="Calibri" w:eastAsia="Calibri" w:hAnsi="Calibri"/>
        </w:rPr>
        <w:t xml:space="preserve">Art. 40.º a 44.º do DL 125/2025 — obrigações de notificação de incidentes ao CNCS e comunicação com destinatários de serviços e outras autoridades competentes.</w:t>
      </w:r>
    </w:p>
    <w:p>
      <w:pPr>
        <w:pStyle w:val="Heading1"/>
        <w:spacing w:before="400" w:after="200"/>
      </w:pPr>
      <w:r>
        <w:rPr>
          <w:b/>
          <w:bCs/>
          <w:color w:val="1e3a8a"/>
          <w:sz w:val="32"/>
          <w:szCs w:val="32"/>
          <w:rFonts w:ascii="Calibri" w:cs="Calibri" w:eastAsia="Calibri" w:hAnsi="Calibri"/>
        </w:rPr>
        <w:t xml:space="preserve">9. Continuidade de negócio</w:t>
      </w:r>
    </w:p>
    <w:p>
      <w:pPr>
        <w:spacing w:after="160"/>
      </w:pPr>
      <w:r>
        <w:rPr>
          <w:color w:val="374151"/>
          <w:sz w:val="22"/>
          <w:szCs w:val="22"/>
          <w:rFonts w:ascii="Calibri" w:cs="Calibri" w:eastAsia="Calibri" w:hAnsi="Calibri"/>
        </w:rPr>
        <w:t xml:space="preserve">A organização implementa e mantém um programa de continuidade de negócio que assegura a capacidade de manter ou restabelecer rapidamente as operações críticas em caso de incidente grave.</w:t>
      </w:r>
    </w:p>
    <w:p>
      <w:pPr>
        <w:pStyle w:val="Heading2"/>
        <w:spacing w:before="320" w:after="160"/>
      </w:pPr>
      <w:r>
        <w:rPr>
          <w:b/>
          <w:bCs/>
          <w:color w:val="1e3a8a"/>
          <w:sz w:val="28"/>
          <w:szCs w:val="28"/>
          <w:rFonts w:ascii="Calibri" w:cs="Calibri" w:eastAsia="Calibri" w:hAnsi="Calibri"/>
        </w:rPr>
        <w:t xml:space="preserve">9.1. Análise de impacto no negócio</w:t>
      </w:r>
    </w:p>
    <w:p>
      <w:pPr>
        <w:spacing w:after="160"/>
      </w:pPr>
      <w:r>
        <w:rPr>
          <w:color w:val="374151"/>
          <w:sz w:val="22"/>
          <w:szCs w:val="22"/>
          <w:rFonts w:ascii="Calibri" w:cs="Calibri" w:eastAsia="Calibri" w:hAnsi="Calibri"/>
        </w:rPr>
        <w:t xml:space="preserve">A análise de impacto no negócio (BIA) identifica os processos e serviços críticos da organização, os requisitos mínimos de recursos para a sua operação em modo de contingência e os objetivos de recuperação (RTO e RPO) para cada processo. A BIA é revista anualmente e sempre que ocorram alterações significativas.</w:t>
      </w:r>
    </w:p>
    <w:p>
      <w:pPr>
        <w:pStyle w:val="Heading2"/>
        <w:spacing w:before="320" w:after="160"/>
      </w:pPr>
      <w:r>
        <w:rPr>
          <w:b/>
          <w:bCs/>
          <w:color w:val="1e3a8a"/>
          <w:sz w:val="28"/>
          <w:szCs w:val="28"/>
          <w:rFonts w:ascii="Calibri" w:cs="Calibri" w:eastAsia="Calibri" w:hAnsi="Calibri"/>
        </w:rPr>
        <w:t xml:space="preserve">9.2. Plano de continuidade de negócio</w:t>
      </w:r>
    </w:p>
    <w:p>
      <w:pPr>
        <w:spacing w:after="160"/>
      </w:pPr>
      <w:r>
        <w:rPr>
          <w:color w:val="374151"/>
          <w:sz w:val="22"/>
          <w:szCs w:val="22"/>
          <w:rFonts w:ascii="Calibri" w:cs="Calibri" w:eastAsia="Calibri" w:hAnsi="Calibri"/>
        </w:rPr>
        <w:t xml:space="preserve">O Plano de Continuidade de Negócio (PCN) documenta os procedimentos a seguir para manter as operações críticas durante uma interrupção. O PCN é testado pelo menos uma vez por ano através de exercícios de simulação, com os resultados documentados e utilizados para melhoria.</w:t>
      </w:r>
    </w:p>
    <w:p>
      <w:pPr>
        <w:pStyle w:val="Heading2"/>
        <w:spacing w:before="320" w:after="160"/>
      </w:pPr>
      <w:r>
        <w:rPr>
          <w:b/>
          <w:bCs/>
          <w:color w:val="1e3a8a"/>
          <w:sz w:val="28"/>
          <w:szCs w:val="28"/>
          <w:rFonts w:ascii="Calibri" w:cs="Calibri" w:eastAsia="Calibri" w:hAnsi="Calibri"/>
        </w:rPr>
        <w:t xml:space="preserve">9.3. Recuperação de desastres</w:t>
      </w:r>
    </w:p>
    <w:p>
      <w:pPr>
        <w:spacing w:after="160"/>
      </w:pPr>
      <w:r>
        <w:rPr>
          <w:color w:val="374151"/>
          <w:sz w:val="22"/>
          <w:szCs w:val="22"/>
          <w:rFonts w:ascii="Calibri" w:cs="Calibri" w:eastAsia="Calibri" w:hAnsi="Calibri"/>
        </w:rPr>
        <w:t xml:space="preserve">O Plano de Recuperação de Desastres (PRD) define os procedimentos técnicos para restaurar os sistemas de informação após uma interrupção grave. O PRD inclui procedimentos de failover, recuperação de cópias de segurança e reconfiguração de sistemas, com responsáveis e tempos estimados para cada etapa.</w:t>
      </w:r>
    </w:p>
    <w:p>
      <w:pPr>
        <w:pStyle w:val="Heading2"/>
        <w:spacing w:before="320" w:after="160"/>
      </w:pPr>
      <w:r>
        <w:rPr>
          <w:b/>
          <w:bCs/>
          <w:color w:val="1e3a8a"/>
          <w:sz w:val="28"/>
          <w:szCs w:val="28"/>
          <w:rFonts w:ascii="Calibri" w:cs="Calibri" w:eastAsia="Calibri" w:hAnsi="Calibri"/>
        </w:rPr>
        <w:t xml:space="preserve">9.4. Política de cópias de segurança</w:t>
      </w:r>
    </w:p>
    <w:p>
      <w:pPr>
        <w:spacing w:after="160"/>
      </w:pPr>
      <w:r>
        <w:rPr>
          <w:color w:val="374151"/>
          <w:sz w:val="22"/>
          <w:szCs w:val="22"/>
          <w:rFonts w:ascii="Calibri" w:cs="Calibri" w:eastAsia="Calibri" w:hAnsi="Calibri"/>
        </w:rPr>
        <w:t xml:space="preserve">A organização mantém uma política de cópias de segurança que define a frequência, o método, o local de armazenamento e o período de retenção das cópias de cada sistema. As cópias de segurança são armazenadas em locais fisicamente distintos dos sistemas originais. A integridade e a capacidade de restauro das cópias são verificadas regularmente.</w:t>
      </w:r>
    </w:p>
    <w:p>
      <w:pPr>
        <w:shd w:color="dbeafe" w:val="solid"/>
        <w:spacing w:before="160" w:after="160"/>
        <w:ind w:left="360" w:right="360"/>
      </w:pPr>
      <w:r>
        <w:rPr>
          <w:i/>
          <w:iCs/>
          <w:color w:val="1e3a8a"/>
          <w:sz w:val="22"/>
          <w:szCs w:val="22"/>
          <w:rFonts w:ascii="Calibri" w:cs="Calibri" w:eastAsia="Calibri" w:hAnsi="Calibri"/>
        </w:rPr>
        <w:t xml:space="preserve">Art. 27.º alínea b) do DL 125/2025 — obrigação de implementar medidas de continuidade das atividades, incluindo cópias de segurança e recuperação de desastres.</w:t>
      </w:r>
    </w:p>
    <w:p>
      <w:pPr>
        <w:pStyle w:val="Heading1"/>
        <w:spacing w:before="400" w:after="200"/>
      </w:pPr>
      <w:r>
        <w:rPr>
          <w:b/>
          <w:bCs/>
          <w:color w:val="1e3a8a"/>
          <w:sz w:val="32"/>
          <w:szCs w:val="32"/>
          <w:rFonts w:ascii="Calibri" w:cs="Calibri" w:eastAsia="Calibri" w:hAnsi="Calibri"/>
        </w:rPr>
        <w:t xml:space="preserve">10. Segurança da cadeia de abastecimento</w:t>
      </w:r>
    </w:p>
    <w:p>
      <w:pPr>
        <w:spacing w:after="160"/>
      </w:pPr>
      <w:r>
        <w:rPr>
          <w:color w:val="374151"/>
          <w:sz w:val="22"/>
          <w:szCs w:val="22"/>
          <w:rFonts w:ascii="Calibri" w:cs="Calibri" w:eastAsia="Calibri" w:hAnsi="Calibri"/>
        </w:rPr>
        <w:t xml:space="preserve">A segurança da cadeia de abastecimento é um requisito explícito do DL 125/2025, reconhecendo que os riscos de cibersegurança podem materializar-se através de fornecedores e prestadores de serviços. A organização adota uma abordagem proativa para gerir estes riscos.</w:t>
      </w:r>
    </w:p>
    <w:p>
      <w:pPr>
        <w:pStyle w:val="Heading2"/>
        <w:spacing w:before="320" w:after="160"/>
      </w:pPr>
      <w:r>
        <w:rPr>
          <w:b/>
          <w:bCs/>
          <w:color w:val="1e3a8a"/>
          <w:sz w:val="28"/>
          <w:szCs w:val="28"/>
          <w:rFonts w:ascii="Calibri" w:cs="Calibri" w:eastAsia="Calibri" w:hAnsi="Calibri"/>
        </w:rPr>
        <w:t xml:space="preserve">10.1. Inventário de fornecedores</w:t>
      </w:r>
    </w:p>
    <w:p>
      <w:pPr>
        <w:spacing w:after="160"/>
      </w:pPr>
      <w:r>
        <w:rPr>
          <w:color w:val="374151"/>
          <w:sz w:val="22"/>
          <w:szCs w:val="22"/>
          <w:rFonts w:ascii="Calibri" w:cs="Calibri" w:eastAsia="Calibri" w:hAnsi="Calibri"/>
        </w:rPr>
        <w:t xml:space="preserve">A organização mantém um inventário atualizado dos fornecedores e prestadores de serviços com acesso a sistemas, redes ou dados da organização. O inventário inclui a natureza e o âmbito do acesso concedido, o nível de criticidade do fornecedor e a avaliação de risco correspondente.</w:t>
      </w:r>
    </w:p>
    <w:p>
      <w:pPr>
        <w:pStyle w:val="Heading2"/>
        <w:spacing w:before="320" w:after="160"/>
      </w:pPr>
      <w:r>
        <w:rPr>
          <w:b/>
          <w:bCs/>
          <w:color w:val="1e3a8a"/>
          <w:sz w:val="28"/>
          <w:szCs w:val="28"/>
          <w:rFonts w:ascii="Calibri" w:cs="Calibri" w:eastAsia="Calibri" w:hAnsi="Calibri"/>
        </w:rPr>
        <w:t xml:space="preserve">10.2. Avaliação de fornecedores</w:t>
      </w:r>
    </w:p>
    <w:p>
      <w:pPr>
        <w:spacing w:after="160"/>
      </w:pPr>
      <w:r>
        <w:rPr>
          <w:color w:val="374151"/>
          <w:sz w:val="22"/>
          <w:szCs w:val="22"/>
          <w:rFonts w:ascii="Calibri" w:cs="Calibri" w:eastAsia="Calibri" w:hAnsi="Calibri"/>
        </w:rPr>
        <w:t xml:space="preserve">Antes da contratação de fornecedores com acesso a sistemas ou dados críticos, a organização realiza uma avaliação de segurança que considera as práticas de cibersegurança do fornecedor, a sua política de subcontratação, a capacidade de resposta a incidentes e os requisitos de notificação. A avaliação é repetida periodicamente durante a vigência do contrato.</w:t>
      </w:r>
    </w:p>
    <w:p>
      <w:pPr>
        <w:pStyle w:val="Heading2"/>
        <w:spacing w:before="320" w:after="160"/>
      </w:pPr>
      <w:r>
        <w:rPr>
          <w:b/>
          <w:bCs/>
          <w:color w:val="1e3a8a"/>
          <w:sz w:val="28"/>
          <w:szCs w:val="28"/>
          <w:rFonts w:ascii="Calibri" w:cs="Calibri" w:eastAsia="Calibri" w:hAnsi="Calibri"/>
        </w:rPr>
        <w:t xml:space="preserve">10.3. Requisitos contratuais</w:t>
      </w:r>
    </w:p>
    <w:p>
      <w:pPr>
        <w:spacing w:after="160"/>
      </w:pPr>
      <w:r>
        <w:rPr>
          <w:color w:val="374151"/>
          <w:sz w:val="22"/>
          <w:szCs w:val="22"/>
          <w:rFonts w:ascii="Calibri" w:cs="Calibri" w:eastAsia="Calibri" w:hAnsi="Calibri"/>
        </w:rPr>
        <w:t xml:space="preserve">Os contratos com fornecedores classificados como críticos incluem cláusulas de segurança que definem os requisitos mínimos de cibersegurança, as obrigações de notificação de incidentes, o direito de auditoria, os requisitos de subcontratação e as consequências do incumprimento. Os contratos são revistos sempre que se altere o âmbito dos serviços prestados.</w:t>
      </w:r>
    </w:p>
    <w:p>
      <w:pPr>
        <w:shd w:color="dbeafe" w:val="solid"/>
        <w:spacing w:before="160" w:after="160"/>
        <w:ind w:left="360" w:right="360"/>
      </w:pPr>
      <w:r>
        <w:rPr>
          <w:i/>
          <w:iCs/>
          <w:color w:val="1e3a8a"/>
          <w:sz w:val="22"/>
          <w:szCs w:val="22"/>
          <w:rFonts w:ascii="Calibri" w:cs="Calibri" w:eastAsia="Calibri" w:hAnsi="Calibri"/>
        </w:rPr>
        <w:t xml:space="preserve">Art. 28.º do DL 125/2025 — medidas de cibersegurança na cadeia de abastecimento, considerando as vulnerabilidades específicas de cada fornecedor e a qualidade global dos produtos e serviços de segurança.</w:t>
      </w:r>
    </w:p>
    <w:p>
      <w:pPr>
        <w:pStyle w:val="Heading1"/>
        <w:spacing w:before="400" w:after="200"/>
      </w:pPr>
      <w:r>
        <w:rPr>
          <w:b/>
          <w:bCs/>
          <w:color w:val="1e3a8a"/>
          <w:sz w:val="32"/>
          <w:szCs w:val="32"/>
          <w:rFonts w:ascii="Calibri" w:cs="Calibri" w:eastAsia="Calibri" w:hAnsi="Calibri"/>
        </w:rPr>
        <w:t xml:space="preserve">11. Formação e sensibilização</w:t>
      </w:r>
    </w:p>
    <w:p>
      <w:pPr>
        <w:spacing w:after="160"/>
      </w:pPr>
      <w:r>
        <w:rPr>
          <w:color w:val="374151"/>
          <w:sz w:val="22"/>
          <w:szCs w:val="22"/>
          <w:rFonts w:ascii="Calibri" w:cs="Calibri" w:eastAsia="Calibri" w:hAnsi="Calibri"/>
        </w:rPr>
        <w:t xml:space="preserve">A organização reconhece que as pessoas são simultaneamente o elo mais vulnerável e o mais eficaz na defesa da cibersegurança. Por isso, investe num programa contínuo de formação e sensibilização que promove uma cultura organizacional de cibersegurança.</w:t>
      </w:r>
    </w:p>
    <w:p>
      <w:pPr>
        <w:pStyle w:val="Heading2"/>
        <w:spacing w:before="320" w:after="160"/>
      </w:pPr>
      <w:r>
        <w:rPr>
          <w:b/>
          <w:bCs/>
          <w:color w:val="1e3a8a"/>
          <w:sz w:val="28"/>
          <w:szCs w:val="28"/>
          <w:rFonts w:ascii="Calibri" w:cs="Calibri" w:eastAsia="Calibri" w:hAnsi="Calibri"/>
        </w:rPr>
        <w:t xml:space="preserve">11.1. Formação do órgão de gestão</w:t>
      </w:r>
    </w:p>
    <w:p>
      <w:pPr>
        <w:spacing w:after="160"/>
      </w:pPr>
      <w:r>
        <w:rPr>
          <w:color w:val="374151"/>
          <w:sz w:val="22"/>
          <w:szCs w:val="22"/>
          <w:rFonts w:ascii="Calibri" w:cs="Calibri" w:eastAsia="Calibri" w:hAnsi="Calibri"/>
        </w:rPr>
        <w:t xml:space="preserve">Os membros do órgão de gestão frequentam formação específica sobre governação da cibersegurança, gestão de riscos e responsabilidades legais no âmbito do DL 125/2025, conforme exigido pelo Art. 25.º n.º 1 alínea d). Esta formação deve ser realizada pelo menos uma vez por ano e sempre que ocorram alterações relevantes no enquadramento legal.</w:t>
      </w:r>
    </w:p>
    <w:p>
      <w:pPr>
        <w:pStyle w:val="Heading2"/>
        <w:spacing w:before="320" w:after="160"/>
      </w:pPr>
      <w:r>
        <w:rPr>
          <w:b/>
          <w:bCs/>
          <w:color w:val="1e3a8a"/>
          <w:sz w:val="28"/>
          <w:szCs w:val="28"/>
          <w:rFonts w:ascii="Calibri" w:cs="Calibri" w:eastAsia="Calibri" w:hAnsi="Calibri"/>
        </w:rPr>
        <w:t xml:space="preserve">11.2. Formação de todos os colaboradores</w:t>
      </w:r>
    </w:p>
    <w:p>
      <w:pPr>
        <w:spacing w:after="160"/>
      </w:pPr>
      <w:r>
        <w:rPr>
          <w:color w:val="374151"/>
          <w:sz w:val="22"/>
          <w:szCs w:val="22"/>
          <w:rFonts w:ascii="Calibri" w:cs="Calibri" w:eastAsia="Calibri" w:hAnsi="Calibri"/>
        </w:rPr>
        <w:t xml:space="preserve">Todos os colaboradores frequentam formação obrigatória em cibersegurança, com conteúdos adaptados ao seu papel e nível de acesso. A formação cobre, no mínimo, os seguintes temas: identificação e resposta a ataques de phishing, gestão segura de palavras-passe, utilização segura de dispositivos, proteção de dados pessoais e procedimentos de reporte de incidentes.</w:t>
      </w:r>
    </w:p>
    <w:p>
      <w:pPr>
        <w:spacing w:after="160"/>
      </w:pPr>
      <w:r>
        <w:rPr>
          <w:color w:val="374151"/>
          <w:sz w:val="22"/>
          <w:szCs w:val="22"/>
          <w:rFonts w:ascii="Calibri" w:cs="Calibri" w:eastAsia="Calibri" w:hAnsi="Calibri"/>
        </w:rPr>
        <w:t xml:space="preserve">A formação é obrigatória para todos os novos colaboradores no momento da integração e reciclada anualmente para todos. A participação é registada e o incumprimento reportado ao responsável direto.</w:t>
      </w:r>
    </w:p>
    <w:p>
      <w:pPr>
        <w:pStyle w:val="Heading2"/>
        <w:spacing w:before="320" w:after="160"/>
      </w:pPr>
      <w:r>
        <w:rPr>
          <w:b/>
          <w:bCs/>
          <w:color w:val="1e3a8a"/>
          <w:sz w:val="28"/>
          <w:szCs w:val="28"/>
          <w:rFonts w:ascii="Calibri" w:cs="Calibri" w:eastAsia="Calibri" w:hAnsi="Calibri"/>
        </w:rPr>
        <w:t xml:space="preserve">11.3. Exercícios e simulações</w:t>
      </w:r>
    </w:p>
    <w:p>
      <w:pPr>
        <w:spacing w:after="160"/>
      </w:pPr>
      <w:r>
        <w:rPr>
          <w:color w:val="374151"/>
          <w:sz w:val="22"/>
          <w:szCs w:val="22"/>
          <w:rFonts w:ascii="Calibri" w:cs="Calibri" w:eastAsia="Calibri" w:hAnsi="Calibri"/>
        </w:rPr>
        <w:t xml:space="preserve">A organização realiza exercícios periódicos de simulação de incidentes, incluindo simulações de phishing, exercícios de mesa e testes de resposta a incidentes. Os resultados são analisados e utilizados para melhorar os procedimentos e identificar necessidades de formação adicionais.</w:t>
      </w:r>
    </w:p>
    <w:p>
      <w:pPr>
        <w:shd w:color="dbeafe" w:val="solid"/>
        <w:spacing w:before="160" w:after="160"/>
        <w:ind w:left="360" w:right="360"/>
      </w:pPr>
      <w:r>
        <w:rPr>
          <w:i/>
          <w:iCs/>
          <w:color w:val="1e3a8a"/>
          <w:sz w:val="22"/>
          <w:szCs w:val="22"/>
          <w:rFonts w:ascii="Calibri" w:cs="Calibri" w:eastAsia="Calibri" w:hAnsi="Calibri"/>
        </w:rPr>
        <w:t xml:space="preserve">Art. 25.º n.º 1 alínea d) do DL 125/2025 — os membros dos órgãos de gestão devem frequentar formação sobre cibersegurança e encorajar os seus colaboradores a fazê-lo regularmente.</w:t>
      </w:r>
    </w:p>
    <w:p>
      <w:pPr>
        <w:pStyle w:val="Heading1"/>
        <w:spacing w:before="400" w:after="200"/>
      </w:pPr>
      <w:r>
        <w:rPr>
          <w:b/>
          <w:bCs/>
          <w:color w:val="1e3a8a"/>
          <w:sz w:val="32"/>
          <w:szCs w:val="32"/>
          <w:rFonts w:ascii="Calibri" w:cs="Calibri" w:eastAsia="Calibri" w:hAnsi="Calibri"/>
        </w:rPr>
        <w:t xml:space="preserve">12. Conformidade e auditoria</w:t>
      </w:r>
    </w:p>
    <w:p>
      <w:pPr>
        <w:spacing w:after="160"/>
      </w:pPr>
      <w:r>
        <w:rPr>
          <w:color w:val="374151"/>
          <w:sz w:val="22"/>
          <w:szCs w:val="22"/>
          <w:rFonts w:ascii="Calibri" w:cs="Calibri" w:eastAsia="Calibri" w:hAnsi="Calibri"/>
        </w:rPr>
        <w:t xml:space="preserve">A organização estabelece mecanismos para verificar de forma regular e sistemática a conformidade com esta política e com os requisitos legais e regulamentares aplicáveis.</w:t>
      </w:r>
    </w:p>
    <w:p>
      <w:pPr>
        <w:pStyle w:val="Heading2"/>
        <w:spacing w:before="320" w:after="160"/>
      </w:pPr>
      <w:r>
        <w:rPr>
          <w:b/>
          <w:bCs/>
          <w:color w:val="1e3a8a"/>
          <w:sz w:val="28"/>
          <w:szCs w:val="28"/>
          <w:rFonts w:ascii="Calibri" w:cs="Calibri" w:eastAsia="Calibri" w:hAnsi="Calibri"/>
        </w:rPr>
        <w:t xml:space="preserve">12.1. Auditorias internas</w:t>
      </w:r>
    </w:p>
    <w:p>
      <w:pPr>
        <w:spacing w:after="160"/>
      </w:pPr>
      <w:r>
        <w:rPr>
          <w:color w:val="374151"/>
          <w:sz w:val="22"/>
          <w:szCs w:val="22"/>
          <w:rFonts w:ascii="Calibri" w:cs="Calibri" w:eastAsia="Calibri" w:hAnsi="Calibri"/>
        </w:rPr>
        <w:t xml:space="preserve">São realizadas auditorias internas de cibersegurança pelo menos uma vez por ano, cobrindo a conformidade com esta política, a eficácia dos controlos implementados e o cumprimento dos procedimentos documentados. Os relatórios de auditoria são apresentados ao órgão de gestão e as não conformidades identificadas são objeto de planos de ação com prazos definidos.</w:t>
      </w:r>
    </w:p>
    <w:p>
      <w:pPr>
        <w:pStyle w:val="Heading2"/>
        <w:spacing w:before="320" w:after="160"/>
      </w:pPr>
      <w:r>
        <w:rPr>
          <w:b/>
          <w:bCs/>
          <w:color w:val="1e3a8a"/>
          <w:sz w:val="28"/>
          <w:szCs w:val="28"/>
          <w:rFonts w:ascii="Calibri" w:cs="Calibri" w:eastAsia="Calibri" w:hAnsi="Calibri"/>
        </w:rPr>
        <w:t xml:space="preserve">12.2. Testes técnicos</w:t>
      </w:r>
    </w:p>
    <w:p>
      <w:pPr>
        <w:spacing w:after="160"/>
      </w:pPr>
      <w:r>
        <w:rPr>
          <w:color w:val="374151"/>
          <w:sz w:val="22"/>
          <w:szCs w:val="22"/>
          <w:rFonts w:ascii="Calibri" w:cs="Calibri" w:eastAsia="Calibri" w:hAnsi="Calibri"/>
        </w:rPr>
        <w:t xml:space="preserve">A organização realiza testes de penetração (penetration testing) por entidades externas independentes com uma periodicidade mínima bienal, ou após alterações significativas na infraestrutura. São igualmente realizadas análises de vulnerabilidades com maior frequência (trimestralmente para sistemas expostos à internet).</w:t>
      </w:r>
    </w:p>
    <w:p>
      <w:pPr>
        <w:pStyle w:val="Heading2"/>
        <w:spacing w:before="320" w:after="160"/>
      </w:pPr>
      <w:r>
        <w:rPr>
          <w:b/>
          <w:bCs/>
          <w:color w:val="1e3a8a"/>
          <w:sz w:val="28"/>
          <w:szCs w:val="28"/>
          <w:rFonts w:ascii="Calibri" w:cs="Calibri" w:eastAsia="Calibri" w:hAnsi="Calibri"/>
        </w:rPr>
        <w:t xml:space="preserve">12.3. Indicadores de desempenho</w:t>
      </w:r>
    </w:p>
    <w:p>
      <w:pPr>
        <w:spacing w:after="160"/>
      </w:pPr>
      <w:r>
        <w:rPr>
          <w:color w:val="374151"/>
          <w:sz w:val="22"/>
          <w:szCs w:val="22"/>
          <w:rFonts w:ascii="Calibri" w:cs="Calibri" w:eastAsia="Calibri" w:hAnsi="Calibri"/>
        </w:rPr>
        <w:t xml:space="preserve">A organização define e monitoriza indicadores-chave de desempenho (KPIs) de cibersegurança, que são reportados regularmente ao órgão de gestão. Os KPIs cobrem, entre outros, o tempo médio de deteção de incidentes, o tempo médio de resposta, a taxa de conclusão das formações obrigatórias e o estado de aplicação de atualizações de segurança.</w:t>
      </w:r>
    </w:p>
    <w:p>
      <w:pPr>
        <w:pStyle w:val="Heading2"/>
        <w:spacing w:before="320" w:after="160"/>
      </w:pPr>
      <w:r>
        <w:rPr>
          <w:b/>
          <w:bCs/>
          <w:color w:val="1e3a8a"/>
          <w:sz w:val="28"/>
          <w:szCs w:val="28"/>
          <w:rFonts w:ascii="Calibri" w:cs="Calibri" w:eastAsia="Calibri" w:hAnsi="Calibri"/>
        </w:rPr>
        <w:t xml:space="preserve">12.4. Reporte ao CNCS</w:t>
      </w:r>
    </w:p>
    <w:p>
      <w:pPr>
        <w:spacing w:after="160"/>
      </w:pPr>
      <w:r>
        <w:rPr>
          <w:color w:val="374151"/>
          <w:sz w:val="22"/>
          <w:szCs w:val="22"/>
          <w:rFonts w:ascii="Calibri" w:cs="Calibri" w:eastAsia="Calibri" w:hAnsi="Calibri"/>
        </w:rPr>
        <w:t xml:space="preserve">A organização cumpre as obrigações de reporte periódico ao Centro Nacional de Cibersegurança (CNCS), nos termos do Art. 30.º do DL 125/2025, fornecendo as informações solicitadas sobre a implementação das medidas de cibersegurança e o estado de conformidade.</w:t>
      </w:r>
    </w:p>
    <w:p>
      <w:pPr>
        <w:shd w:color="dbeafe" w:val="solid"/>
        <w:spacing w:before="160" w:after="160"/>
        <w:ind w:left="360" w:right="360"/>
      </w:pPr>
      <w:r>
        <w:rPr>
          <w:i/>
          <w:iCs/>
          <w:color w:val="1e3a8a"/>
          <w:sz w:val="22"/>
          <w:szCs w:val="22"/>
          <w:rFonts w:ascii="Calibri" w:cs="Calibri" w:eastAsia="Calibri" w:hAnsi="Calibri"/>
        </w:rPr>
        <w:t xml:space="preserve">Art. 30.º do DL 125/2025 — obrigações de prestação de informações ao CNCS sobre as medidas de gestão de riscos de cibersegurança implementadas.</w:t>
      </w:r>
    </w:p>
    <w:p>
      <w:pPr>
        <w:pStyle w:val="Heading1"/>
        <w:spacing w:before="400" w:after="200"/>
      </w:pPr>
      <w:r>
        <w:rPr>
          <w:b/>
          <w:bCs/>
          <w:color w:val="1e3a8a"/>
          <w:sz w:val="32"/>
          <w:szCs w:val="32"/>
          <w:rFonts w:ascii="Calibri" w:cs="Calibri" w:eastAsia="Calibri" w:hAnsi="Calibri"/>
        </w:rPr>
        <w:t xml:space="preserve">13. Violações e sanções</w:t>
      </w:r>
    </w:p>
    <w:p>
      <w:pPr>
        <w:spacing w:after="160"/>
      </w:pPr>
      <w:r>
        <w:rPr>
          <w:color w:val="374151"/>
          <w:sz w:val="22"/>
          <w:szCs w:val="22"/>
          <w:rFonts w:ascii="Calibri" w:cs="Calibri" w:eastAsia="Calibri" w:hAnsi="Calibri"/>
        </w:rPr>
        <w:t xml:space="preserve">O incumprimento desta política pode ter consequências disciplinares internas e implicações legais externas, conforme descrito neste capítulo.</w:t>
      </w:r>
    </w:p>
    <w:p>
      <w:pPr>
        <w:pStyle w:val="Heading2"/>
        <w:spacing w:before="320" w:after="160"/>
      </w:pPr>
      <w:r>
        <w:rPr>
          <w:b/>
          <w:bCs/>
          <w:color w:val="1e3a8a"/>
          <w:sz w:val="28"/>
          <w:szCs w:val="28"/>
          <w:rFonts w:ascii="Calibri" w:cs="Calibri" w:eastAsia="Calibri" w:hAnsi="Calibri"/>
        </w:rPr>
        <w:t xml:space="preserve">13.1. Consequências internas</w:t>
      </w:r>
    </w:p>
    <w:p>
      <w:pPr>
        <w:spacing w:after="160"/>
      </w:pPr>
      <w:r>
        <w:rPr>
          <w:color w:val="374151"/>
          <w:sz w:val="22"/>
          <w:szCs w:val="22"/>
          <w:rFonts w:ascii="Calibri" w:cs="Calibri" w:eastAsia="Calibri" w:hAnsi="Calibri"/>
        </w:rPr>
        <w:t xml:space="preserve">As violações desta política por parte de colaboradores são tratadas em conformidade com o regulamento interno e o código laboral aplicável. Dependendo da gravidade, as consequências podem incluir formação adicional obrigatória, advertência formal, suspensão ou rescisão do contrato de trabalho. As violações que consubstanciem crimes informáticos são reportadas às autoridades competentes.</w:t>
      </w:r>
    </w:p>
    <w:p>
      <w:pPr>
        <w:pStyle w:val="Heading2"/>
        <w:spacing w:before="320" w:after="160"/>
      </w:pPr>
      <w:r>
        <w:rPr>
          <w:b/>
          <w:bCs/>
          <w:color w:val="1e3a8a"/>
          <w:sz w:val="28"/>
          <w:szCs w:val="28"/>
          <w:rFonts w:ascii="Calibri" w:cs="Calibri" w:eastAsia="Calibri" w:hAnsi="Calibri"/>
        </w:rPr>
        <w:t xml:space="preserve">13.2. Sanções previstas no DL 125/2025</w:t>
      </w:r>
    </w:p>
    <w:p>
      <w:pPr>
        <w:spacing w:after="160"/>
      </w:pPr>
      <w:r>
        <w:rPr>
          <w:color w:val="374151"/>
          <w:sz w:val="22"/>
          <w:szCs w:val="22"/>
          <w:rFonts w:ascii="Calibri" w:cs="Calibri" w:eastAsia="Calibri" w:hAnsi="Calibri"/>
        </w:rPr>
        <w:t xml:space="preserve">O incumprimento das obrigações previstas no DL 125/2025 pode resultar nas seguintes sanções, nos termos dos Art. 52.º a 55.º:</w:t>
      </w:r>
    </w:p>
    <w:p>
      <w:pPr>
        <w:pStyle w:val="ListParagraph"/>
        <w:numPr>
          <w:ilvl w:val="0"/>
          <w:numId w:val="1"/>
        </w:numPr>
        <w:spacing w:after="80"/>
      </w:pPr>
      <w:r>
        <w:rPr>
          <w:color w:val="374151"/>
          <w:sz w:val="22"/>
          <w:szCs w:val="22"/>
          <w:rFonts w:ascii="Calibri" w:cs="Calibri" w:eastAsia="Calibri" w:hAnsi="Calibri"/>
        </w:rPr>
        <w:t xml:space="preserve">Entidades essenciais: coima até €10.000.000 ou até 2% do volume de negócios anual mundial, consoante o montante mais elevado</w:t>
      </w:r>
    </w:p>
    <w:p>
      <w:pPr>
        <w:pStyle w:val="ListParagraph"/>
        <w:numPr>
          <w:ilvl w:val="0"/>
          <w:numId w:val="1"/>
        </w:numPr>
        <w:spacing w:after="80"/>
      </w:pPr>
      <w:r>
        <w:rPr>
          <w:color w:val="374151"/>
          <w:sz w:val="22"/>
          <w:szCs w:val="22"/>
          <w:rFonts w:ascii="Calibri" w:cs="Calibri" w:eastAsia="Calibri" w:hAnsi="Calibri"/>
        </w:rPr>
        <w:t xml:space="preserve">Entidades importantes: coima até €7.000.000 ou até 1,4% do volume de negócios anual mundial, consoante o montante mais elevado</w:t>
      </w:r>
    </w:p>
    <w:p>
      <w:pPr>
        <w:pStyle w:val="ListParagraph"/>
        <w:numPr>
          <w:ilvl w:val="0"/>
          <w:numId w:val="1"/>
        </w:numPr>
        <w:spacing w:after="80"/>
      </w:pPr>
      <w:r>
        <w:rPr>
          <w:color w:val="374151"/>
          <w:sz w:val="22"/>
          <w:szCs w:val="22"/>
          <w:rFonts w:ascii="Calibri" w:cs="Calibri" w:eastAsia="Calibri" w:hAnsi="Calibri"/>
        </w:rPr>
        <w:t xml:space="preserve">Responsabilidade pessoal dos membros do órgão de gestão por incumprimentos graves</w:t>
      </w:r>
    </w:p>
    <w:p>
      <w:pPr>
        <w:pStyle w:val="ListParagraph"/>
        <w:numPr>
          <w:ilvl w:val="0"/>
          <w:numId w:val="1"/>
        </w:numPr>
        <w:spacing w:after="80"/>
      </w:pPr>
      <w:r>
        <w:rPr>
          <w:color w:val="374151"/>
          <w:sz w:val="22"/>
          <w:szCs w:val="22"/>
          <w:rFonts w:ascii="Calibri" w:cs="Calibri" w:eastAsia="Calibri" w:hAnsi="Calibri"/>
        </w:rPr>
        <w:t xml:space="preserve">Publicação da decisão sancionatória (name and shame)</w:t>
      </w:r>
    </w:p>
    <w:p>
      <w:pPr>
        <w:pStyle w:val="ListParagraph"/>
        <w:numPr>
          <w:ilvl w:val="0"/>
          <w:numId w:val="1"/>
        </w:numPr>
        <w:spacing w:after="80"/>
      </w:pPr>
      <w:r>
        <w:rPr>
          <w:color w:val="374151"/>
          <w:sz w:val="22"/>
          <w:szCs w:val="22"/>
          <w:rFonts w:ascii="Calibri" w:cs="Calibri" w:eastAsia="Calibri" w:hAnsi="Calibri"/>
        </w:rPr>
        <w:t xml:space="preserve">Proibição temporária de exercer funções de gestão em entidades abrangidas pelo DL 125/2025</w:t>
      </w:r>
    </w:p>
    <w:p>
      <w:pPr>
        <w:shd w:color="dbeafe" w:val="solid"/>
        <w:spacing w:before="160" w:after="160"/>
        <w:ind w:left="360" w:right="360"/>
      </w:pPr>
      <w:r>
        <w:rPr>
          <w:i/>
          <w:iCs/>
          <w:color w:val="1e3a8a"/>
          <w:sz w:val="22"/>
          <w:szCs w:val="22"/>
          <w:rFonts w:ascii="Calibri" w:cs="Calibri" w:eastAsia="Calibri" w:hAnsi="Calibri"/>
        </w:rPr>
        <w:t xml:space="preserve">Art. 52.º a 55.º do DL 125/2025 — regime sancionatório aplicável às entidades essenciais e entidades importantes por incumprimento das obrigações de cibersegurança.</w:t>
      </w:r>
    </w:p>
    <w:p>
      <w:pPr>
        <w:pStyle w:val="Heading1"/>
        <w:spacing w:before="400" w:after="200"/>
      </w:pPr>
      <w:r>
        <w:rPr>
          <w:b/>
          <w:bCs/>
          <w:color w:val="1e3a8a"/>
          <w:sz w:val="32"/>
          <w:szCs w:val="32"/>
          <w:rFonts w:ascii="Calibri" w:cs="Calibri" w:eastAsia="Calibri" w:hAnsi="Calibri"/>
        </w:rPr>
        <w:t xml:space="preserve">14. Revisão e atualização</w:t>
      </w:r>
    </w:p>
    <w:p>
      <w:pPr>
        <w:spacing w:after="160"/>
      </w:pPr>
      <w:r>
        <w:rPr>
          <w:color w:val="374151"/>
          <w:sz w:val="22"/>
          <w:szCs w:val="22"/>
          <w:rFonts w:ascii="Calibri" w:cs="Calibri" w:eastAsia="Calibri" w:hAnsi="Calibri"/>
        </w:rPr>
        <w:t xml:space="preserve">Esta política é um documento vivo que deve ser mantido atualizado face à evolução do panorama de ameaças, das tecnologias utilizadas e do quadro legal aplicável.</w:t>
      </w:r>
    </w:p>
    <w:p>
      <w:pPr>
        <w:pStyle w:val="Heading2"/>
        <w:spacing w:before="320" w:after="160"/>
      </w:pPr>
      <w:r>
        <w:rPr>
          <w:b/>
          <w:bCs/>
          <w:color w:val="1e3a8a"/>
          <w:sz w:val="28"/>
          <w:szCs w:val="28"/>
          <w:rFonts w:ascii="Calibri" w:cs="Calibri" w:eastAsia="Calibri" w:hAnsi="Calibri"/>
        </w:rPr>
        <w:t xml:space="preserve">14.1. Revisão anual</w:t>
      </w:r>
    </w:p>
    <w:p>
      <w:pPr>
        <w:spacing w:after="160"/>
      </w:pPr>
      <w:r>
        <w:rPr>
          <w:color w:val="374151"/>
          <w:sz w:val="22"/>
          <w:szCs w:val="22"/>
          <w:rFonts w:ascii="Calibri" w:cs="Calibri" w:eastAsia="Calibri" w:hAnsi="Calibri"/>
        </w:rPr>
        <w:t xml:space="preserve">A presente política é revista pelo menos uma vez por ano, preferencialmente no início de cada exercício. A revisão inclui a avaliação da adequação dos princípios e controlos estabelecidos, a incorporação das lições aprendidas e a consideração de alterações no enquadramento legal e regulamentar.</w:t>
      </w:r>
    </w:p>
    <w:p>
      <w:pPr>
        <w:pStyle w:val="Heading2"/>
        <w:spacing w:before="320" w:after="160"/>
      </w:pPr>
      <w:r>
        <w:rPr>
          <w:b/>
          <w:bCs/>
          <w:color w:val="1e3a8a"/>
          <w:sz w:val="28"/>
          <w:szCs w:val="28"/>
          <w:rFonts w:ascii="Calibri" w:cs="Calibri" w:eastAsia="Calibri" w:hAnsi="Calibri"/>
        </w:rPr>
        <w:t xml:space="preserve">14.2. Revisão extraordinária</w:t>
      </w:r>
    </w:p>
    <w:p>
      <w:pPr>
        <w:spacing w:after="160"/>
      </w:pPr>
      <w:r>
        <w:rPr>
          <w:color w:val="374151"/>
          <w:sz w:val="22"/>
          <w:szCs w:val="22"/>
          <w:rFonts w:ascii="Calibri" w:cs="Calibri" w:eastAsia="Calibri" w:hAnsi="Calibri"/>
        </w:rPr>
        <w:t xml:space="preserve">Para além da revisão anual, a política deve ser revista extraordinariamente sempre que ocorram:</w:t>
      </w:r>
    </w:p>
    <w:p>
      <w:pPr>
        <w:pStyle w:val="ListParagraph"/>
        <w:numPr>
          <w:ilvl w:val="0"/>
          <w:numId w:val="1"/>
        </w:numPr>
        <w:spacing w:after="80"/>
      </w:pPr>
      <w:r>
        <w:rPr>
          <w:color w:val="374151"/>
          <w:sz w:val="22"/>
          <w:szCs w:val="22"/>
          <w:rFonts w:ascii="Calibri" w:cs="Calibri" w:eastAsia="Calibri" w:hAnsi="Calibri"/>
        </w:rPr>
        <w:t xml:space="preserve">Alterações significativas na estrutura organizacional ou nos serviços prestados</w:t>
      </w:r>
    </w:p>
    <w:p>
      <w:pPr>
        <w:pStyle w:val="ListParagraph"/>
        <w:numPr>
          <w:ilvl w:val="0"/>
          <w:numId w:val="1"/>
        </w:numPr>
        <w:spacing w:after="80"/>
      </w:pPr>
      <w:r>
        <w:rPr>
          <w:color w:val="374151"/>
          <w:sz w:val="22"/>
          <w:szCs w:val="22"/>
          <w:rFonts w:ascii="Calibri" w:cs="Calibri" w:eastAsia="Calibri" w:hAnsi="Calibri"/>
        </w:rPr>
        <w:t xml:space="preserve">Incidentes de cibersegurança graves com impacto na política ou nos procedimentos</w:t>
      </w:r>
    </w:p>
    <w:p>
      <w:pPr>
        <w:pStyle w:val="ListParagraph"/>
        <w:numPr>
          <w:ilvl w:val="0"/>
          <w:numId w:val="1"/>
        </w:numPr>
        <w:spacing w:after="80"/>
      </w:pPr>
      <w:r>
        <w:rPr>
          <w:color w:val="374151"/>
          <w:sz w:val="22"/>
          <w:szCs w:val="22"/>
          <w:rFonts w:ascii="Calibri" w:cs="Calibri" w:eastAsia="Calibri" w:hAnsi="Calibri"/>
        </w:rPr>
        <w:t xml:space="preserve">Alterações relevantes no quadro legal e regulamentar aplicável</w:t>
      </w:r>
    </w:p>
    <w:p>
      <w:pPr>
        <w:pStyle w:val="ListParagraph"/>
        <w:numPr>
          <w:ilvl w:val="0"/>
          <w:numId w:val="1"/>
        </w:numPr>
        <w:spacing w:after="80"/>
      </w:pPr>
      <w:r>
        <w:rPr>
          <w:color w:val="374151"/>
          <w:sz w:val="22"/>
          <w:szCs w:val="22"/>
          <w:rFonts w:ascii="Calibri" w:cs="Calibri" w:eastAsia="Calibri" w:hAnsi="Calibri"/>
        </w:rPr>
        <w:t xml:space="preserve">Identificação de deficiências significativas nos controlos de segurança existentes</w:t>
      </w:r>
    </w:p>
    <w:p>
      <w:pPr>
        <w:pStyle w:val="ListParagraph"/>
        <w:numPr>
          <w:ilvl w:val="0"/>
          <w:numId w:val="1"/>
        </w:numPr>
        <w:spacing w:after="80"/>
      </w:pPr>
      <w:r>
        <w:rPr>
          <w:color w:val="374151"/>
          <w:sz w:val="22"/>
          <w:szCs w:val="22"/>
          <w:rFonts w:ascii="Calibri" w:cs="Calibri" w:eastAsia="Calibri" w:hAnsi="Calibri"/>
        </w:rPr>
        <w:t xml:space="preserve">Mudanças tecnológicas com impacto material na postura de segurança da organização</w:t>
      </w:r>
    </w:p>
    <w:p>
      <w:pPr>
        <w:pStyle w:val="Heading2"/>
        <w:spacing w:before="320" w:after="160"/>
      </w:pPr>
      <w:r>
        <w:rPr>
          <w:b/>
          <w:bCs/>
          <w:color w:val="1e3a8a"/>
          <w:sz w:val="28"/>
          <w:szCs w:val="28"/>
          <w:rFonts w:ascii="Calibri" w:cs="Calibri" w:eastAsia="Calibri" w:hAnsi="Calibri"/>
        </w:rPr>
        <w:t xml:space="preserve">14.3. Processo de aprovação</w:t>
      </w:r>
    </w:p>
    <w:p>
      <w:pPr>
        <w:spacing w:after="160"/>
      </w:pPr>
      <w:r>
        <w:rPr>
          <w:color w:val="374151"/>
          <w:sz w:val="22"/>
          <w:szCs w:val="22"/>
          <w:rFonts w:ascii="Calibri" w:cs="Calibri" w:eastAsia="Calibri" w:hAnsi="Calibri"/>
        </w:rPr>
        <w:t xml:space="preserve">As alterações à presente política são propostas pelo responsável de cibersegurança, analisadas pela equipa de cibersegurança e aprovadas pelo órgão de gestão. Após aprovação, a versão atualizada é comunicada a todos os colaboradores e publicada nos canais internos da organização. As versões anteriores são arquivadas por um período mínimo de cinco anos.</w:t>
      </w:r>
    </w:p>
    <w:p>
      <w:r>
        <w:br w:type="page"/>
      </w:r>
    </w:p>
    <w:p>
      <w:pPr>
        <w:pStyle w:val="Heading1"/>
        <w:spacing w:before="400" w:after="200"/>
      </w:pPr>
      <w:r>
        <w:rPr>
          <w:b/>
          <w:bCs/>
          <w:color w:val="1e3a8a"/>
          <w:sz w:val="32"/>
          <w:szCs w:val="32"/>
          <w:rFonts w:ascii="Calibri" w:cs="Calibri" w:eastAsia="Calibri" w:hAnsi="Calibri"/>
        </w:rPr>
        <w:t xml:space="preserve">15. Anexos</w:t>
      </w:r>
    </w:p>
    <w:p>
      <w:pPr>
        <w:pStyle w:val="Heading2"/>
        <w:spacing w:before="320" w:after="160"/>
      </w:pPr>
      <w:r>
        <w:rPr>
          <w:b/>
          <w:bCs/>
          <w:color w:val="1e3a8a"/>
          <w:sz w:val="28"/>
          <w:szCs w:val="28"/>
          <w:rFonts w:ascii="Calibri" w:cs="Calibri" w:eastAsia="Calibri" w:hAnsi="Calibri"/>
        </w:rPr>
        <w:t xml:space="preserve">Anexo A: Glossário</w:t>
      </w:r>
    </w:p>
    <w:p>
      <w:pPr>
        <w:spacing w:after="160"/>
      </w:pPr>
      <w:r>
        <w:rPr>
          <w:color w:val="374151"/>
          <w:sz w:val="22"/>
          <w:szCs w:val="22"/>
          <w:rFonts w:ascii="Calibri" w:cs="Calibri" w:eastAsia="Calibri" w:hAnsi="Calibri"/>
        </w:rPr>
        <w:t xml:space="preserve">Os termos utilizados nesta política têm o seguinte significado:</w:t>
      </w:r>
    </w:p>
    <w:p>
      <w:pPr>
        <w:pStyle w:val="ListParagraph"/>
        <w:numPr>
          <w:ilvl w:val="0"/>
          <w:numId w:val="1"/>
        </w:numPr>
        <w:spacing w:after="80"/>
      </w:pPr>
      <w:r>
        <w:rPr>
          <w:color w:val="374151"/>
          <w:sz w:val="22"/>
          <w:szCs w:val="22"/>
          <w:rFonts w:ascii="Calibri" w:cs="Calibri" w:eastAsia="Calibri" w:hAnsi="Calibri"/>
        </w:rPr>
        <w:t xml:space="preserve">CNCS — Centro Nacional de Cibersegurança: autoridade nacional competente em matéria de cibersegurança em Portugal</w:t>
      </w:r>
    </w:p>
    <w:p>
      <w:pPr>
        <w:pStyle w:val="ListParagraph"/>
        <w:numPr>
          <w:ilvl w:val="0"/>
          <w:numId w:val="1"/>
        </w:numPr>
        <w:spacing w:after="80"/>
      </w:pPr>
      <w:r>
        <w:rPr>
          <w:color w:val="374151"/>
          <w:sz w:val="22"/>
          <w:szCs w:val="22"/>
          <w:rFonts w:ascii="Calibri" w:cs="Calibri" w:eastAsia="Calibri" w:hAnsi="Calibri"/>
        </w:rPr>
        <w:t xml:space="preserve">CSIRT — Computer Security Incident Response Team: equipa de resposta a incidentes de cibersegurança</w:t>
      </w:r>
    </w:p>
    <w:p>
      <w:pPr>
        <w:pStyle w:val="ListParagraph"/>
        <w:numPr>
          <w:ilvl w:val="0"/>
          <w:numId w:val="1"/>
        </w:numPr>
        <w:spacing w:after="80"/>
      </w:pPr>
      <w:r>
        <w:rPr>
          <w:color w:val="374151"/>
          <w:sz w:val="22"/>
          <w:szCs w:val="22"/>
          <w:rFonts w:ascii="Calibri" w:cs="Calibri" w:eastAsia="Calibri" w:hAnsi="Calibri"/>
        </w:rPr>
        <w:t xml:space="preserve">DL 125/2025 — Decreto-Lei n.º 125/2025: diploma que transpõe a Diretiva NIS2 para o direito português</w:t>
      </w:r>
    </w:p>
    <w:p>
      <w:pPr>
        <w:pStyle w:val="ListParagraph"/>
        <w:numPr>
          <w:ilvl w:val="0"/>
          <w:numId w:val="1"/>
        </w:numPr>
        <w:spacing w:after="80"/>
      </w:pPr>
      <w:r>
        <w:rPr>
          <w:color w:val="374151"/>
          <w:sz w:val="22"/>
          <w:szCs w:val="22"/>
          <w:rFonts w:ascii="Calibri" w:cs="Calibri" w:eastAsia="Calibri" w:hAnsi="Calibri"/>
        </w:rPr>
        <w:t xml:space="preserve">NIS2 — Diretiva (UE) 2022/2555: segunda diretiva europeia relativa a medidas de nível elevado de cibersegurança em toda a União</w:t>
      </w:r>
    </w:p>
    <w:p>
      <w:pPr>
        <w:pStyle w:val="ListParagraph"/>
        <w:numPr>
          <w:ilvl w:val="0"/>
          <w:numId w:val="1"/>
        </w:numPr>
        <w:spacing w:after="80"/>
      </w:pPr>
      <w:r>
        <w:rPr>
          <w:color w:val="374151"/>
          <w:sz w:val="22"/>
          <w:szCs w:val="22"/>
          <w:rFonts w:ascii="Calibri" w:cs="Calibri" w:eastAsia="Calibri" w:hAnsi="Calibri"/>
        </w:rPr>
        <w:t xml:space="preserve">Entidade essencial — entidade que presta serviços em setores de elevada criticidade (Anexo I do DL 125/2025)</w:t>
      </w:r>
    </w:p>
    <w:p>
      <w:pPr>
        <w:pStyle w:val="ListParagraph"/>
        <w:numPr>
          <w:ilvl w:val="0"/>
          <w:numId w:val="1"/>
        </w:numPr>
        <w:spacing w:after="80"/>
      </w:pPr>
      <w:r>
        <w:rPr>
          <w:color w:val="374151"/>
          <w:sz w:val="22"/>
          <w:szCs w:val="22"/>
          <w:rFonts w:ascii="Calibri" w:cs="Calibri" w:eastAsia="Calibri" w:hAnsi="Calibri"/>
        </w:rPr>
        <w:t xml:space="preserve">Entidade importante — entidade que presta serviços em outros setores críticos (Anexo II do DL 125/2025)</w:t>
      </w:r>
    </w:p>
    <w:p>
      <w:pPr>
        <w:pStyle w:val="ListParagraph"/>
        <w:numPr>
          <w:ilvl w:val="0"/>
          <w:numId w:val="1"/>
        </w:numPr>
        <w:spacing w:after="80"/>
      </w:pPr>
      <w:r>
        <w:rPr>
          <w:color w:val="374151"/>
          <w:sz w:val="22"/>
          <w:szCs w:val="22"/>
          <w:rFonts w:ascii="Calibri" w:cs="Calibri" w:eastAsia="Calibri" w:hAnsi="Calibri"/>
        </w:rPr>
        <w:t xml:space="preserve">Incidente significativo — incidente com impacto considerável na prestação de serviços, conforme critérios do Art. 39.º do DL 125/2025</w:t>
      </w:r>
    </w:p>
    <w:p>
      <w:pPr>
        <w:pStyle w:val="ListParagraph"/>
        <w:numPr>
          <w:ilvl w:val="0"/>
          <w:numId w:val="1"/>
        </w:numPr>
        <w:spacing w:after="80"/>
      </w:pPr>
      <w:r>
        <w:rPr>
          <w:color w:val="374151"/>
          <w:sz w:val="22"/>
          <w:szCs w:val="22"/>
          <w:rFonts w:ascii="Calibri" w:cs="Calibri" w:eastAsia="Calibri" w:hAnsi="Calibri"/>
        </w:rPr>
        <w:t xml:space="preserve">MFA — Autenticação multifator (Multi-Factor Authentication): método de autenticação que requer dois ou mais fatores de verificação</w:t>
      </w:r>
    </w:p>
    <w:p>
      <w:pPr>
        <w:pStyle w:val="ListParagraph"/>
        <w:numPr>
          <w:ilvl w:val="0"/>
          <w:numId w:val="1"/>
        </w:numPr>
        <w:spacing w:after="80"/>
      </w:pPr>
      <w:r>
        <w:rPr>
          <w:color w:val="374151"/>
          <w:sz w:val="22"/>
          <w:szCs w:val="22"/>
          <w:rFonts w:ascii="Calibri" w:cs="Calibri" w:eastAsia="Calibri" w:hAnsi="Calibri"/>
        </w:rPr>
        <w:t xml:space="preserve">VPN — Rede Privada Virtual (Virtual Private Network): tecnologia que cria uma ligação segura e encriptada sobre redes não seguras</w:t>
      </w:r>
    </w:p>
    <w:p>
      <w:pPr>
        <w:pStyle w:val="ListParagraph"/>
        <w:numPr>
          <w:ilvl w:val="0"/>
          <w:numId w:val="1"/>
        </w:numPr>
        <w:spacing w:after="80"/>
      </w:pPr>
      <w:r>
        <w:rPr>
          <w:color w:val="374151"/>
          <w:sz w:val="22"/>
          <w:szCs w:val="22"/>
          <w:rFonts w:ascii="Calibri" w:cs="Calibri" w:eastAsia="Calibri" w:hAnsi="Calibri"/>
        </w:rPr>
        <w:t xml:space="preserve">RTO — Objetivo de tempo de recuperação (Recovery Time Objective): tempo máximo tolerável para restaurar um serviço após interrupção</w:t>
      </w:r>
    </w:p>
    <w:p>
      <w:pPr>
        <w:pStyle w:val="ListParagraph"/>
        <w:numPr>
          <w:ilvl w:val="0"/>
          <w:numId w:val="1"/>
        </w:numPr>
        <w:spacing w:after="80"/>
      </w:pPr>
      <w:r>
        <w:rPr>
          <w:color w:val="374151"/>
          <w:sz w:val="22"/>
          <w:szCs w:val="22"/>
          <w:rFonts w:ascii="Calibri" w:cs="Calibri" w:eastAsia="Calibri" w:hAnsi="Calibri"/>
        </w:rPr>
        <w:t xml:space="preserve">RPO — Objetivo de ponto de recuperação (Recovery Point Objective): perda máxima de dados tolerável, medida em tempo</w:t>
      </w:r>
    </w:p>
    <w:p>
      <w:pPr>
        <w:pStyle w:val="ListParagraph"/>
        <w:numPr>
          <w:ilvl w:val="0"/>
          <w:numId w:val="1"/>
        </w:numPr>
        <w:spacing w:after="80"/>
      </w:pPr>
      <w:r>
        <w:rPr>
          <w:color w:val="374151"/>
          <w:sz w:val="22"/>
          <w:szCs w:val="22"/>
          <w:rFonts w:ascii="Calibri" w:cs="Calibri" w:eastAsia="Calibri" w:hAnsi="Calibri"/>
        </w:rPr>
        <w:t xml:space="preserve">BIA — Análise de impacto no negócio (Business Impact Analysis): avaliação das consequências da interrupção de processos críticos</w:t>
      </w:r>
    </w:p>
    <w:p>
      <w:pPr>
        <w:pStyle w:val="ListParagraph"/>
        <w:numPr>
          <w:ilvl w:val="0"/>
          <w:numId w:val="1"/>
        </w:numPr>
        <w:spacing w:after="80"/>
      </w:pPr>
      <w:r>
        <w:rPr>
          <w:color w:val="374151"/>
          <w:sz w:val="22"/>
          <w:szCs w:val="22"/>
          <w:rFonts w:ascii="Calibri" w:cs="Calibri" w:eastAsia="Calibri" w:hAnsi="Calibri"/>
        </w:rPr>
        <w:t xml:space="preserve">PCN — Plano de Continuidade de Negócio: documento que define como manter operações durante uma interrupção</w:t>
      </w:r>
    </w:p>
    <w:p>
      <w:pPr>
        <w:pStyle w:val="ListParagraph"/>
        <w:numPr>
          <w:ilvl w:val="0"/>
          <w:numId w:val="1"/>
        </w:numPr>
        <w:spacing w:after="80"/>
      </w:pPr>
      <w:r>
        <w:rPr>
          <w:color w:val="374151"/>
          <w:sz w:val="22"/>
          <w:szCs w:val="22"/>
          <w:rFonts w:ascii="Calibri" w:cs="Calibri" w:eastAsia="Calibri" w:hAnsi="Calibri"/>
        </w:rPr>
        <w:t xml:space="preserve">PRD — Plano de Recuperação de Desastres: documento que define como restaurar sistemas após uma falha grave</w:t>
      </w:r>
    </w:p>
    <w:p>
      <w:pPr>
        <w:pStyle w:val="ListParagraph"/>
        <w:numPr>
          <w:ilvl w:val="0"/>
          <w:numId w:val="1"/>
        </w:numPr>
        <w:spacing w:after="80"/>
      </w:pPr>
      <w:r>
        <w:rPr>
          <w:color w:val="374151"/>
          <w:sz w:val="22"/>
          <w:szCs w:val="22"/>
          <w:rFonts w:ascii="Calibri" w:cs="Calibri" w:eastAsia="Calibri" w:hAnsi="Calibri"/>
        </w:rPr>
        <w:t xml:space="preserve">Phishing — técnica de engenharia social utilizada para obter credenciais ou informação sensível através de comunicações fraudulentas</w:t>
      </w:r>
    </w:p>
    <w:p>
      <w:pPr>
        <w:pStyle w:val="Heading2"/>
        <w:spacing w:before="320" w:after="160"/>
      </w:pPr>
      <w:r>
        <w:rPr>
          <w:b/>
          <w:bCs/>
          <w:color w:val="1e3a8a"/>
          <w:sz w:val="28"/>
          <w:szCs w:val="28"/>
          <w:rFonts w:ascii="Calibri" w:cs="Calibri" w:eastAsia="Calibri" w:hAnsi="Calibri"/>
        </w:rPr>
        <w:t xml:space="preserve">Anexo B: Documentos relacionados</w:t>
      </w:r>
    </w:p>
    <w:p>
      <w:pPr>
        <w:spacing w:after="160"/>
      </w:pPr>
      <w:r>
        <w:rPr>
          <w:color w:val="374151"/>
          <w:sz w:val="22"/>
          <w:szCs w:val="22"/>
          <w:rFonts w:ascii="Calibri" w:cs="Calibri" w:eastAsia="Calibri" w:hAnsi="Calibri"/>
        </w:rPr>
        <w:t xml:space="preserve">A presente política deve ser lida em conjunto com os seguintes documentos, que a complementam e detalham:</w:t>
      </w:r>
    </w:p>
    <w:p>
      <w:pPr>
        <w:pStyle w:val="ListParagraph"/>
        <w:numPr>
          <w:ilvl w:val="0"/>
          <w:numId w:val="1"/>
        </w:numPr>
        <w:spacing w:after="80"/>
      </w:pPr>
      <w:r>
        <w:rPr>
          <w:color w:val="374151"/>
          <w:sz w:val="22"/>
          <w:szCs w:val="22"/>
          <w:rFonts w:ascii="Calibri" w:cs="Calibri" w:eastAsia="Calibri" w:hAnsi="Calibri"/>
        </w:rPr>
        <w:t xml:space="preserve">Plano de resposta a incidentes de cibersegurança</w:t>
      </w:r>
    </w:p>
    <w:p>
      <w:pPr>
        <w:pStyle w:val="ListParagraph"/>
        <w:numPr>
          <w:ilvl w:val="0"/>
          <w:numId w:val="1"/>
        </w:numPr>
        <w:spacing w:after="80"/>
      </w:pPr>
      <w:r>
        <w:rPr>
          <w:color w:val="374151"/>
          <w:sz w:val="22"/>
          <w:szCs w:val="22"/>
          <w:rFonts w:ascii="Calibri" w:cs="Calibri" w:eastAsia="Calibri" w:hAnsi="Calibri"/>
        </w:rPr>
        <w:t xml:space="preserve">Plano de continuidade de negócio (PCN)</w:t>
      </w:r>
    </w:p>
    <w:p>
      <w:pPr>
        <w:pStyle w:val="ListParagraph"/>
        <w:numPr>
          <w:ilvl w:val="0"/>
          <w:numId w:val="1"/>
        </w:numPr>
        <w:spacing w:after="80"/>
      </w:pPr>
      <w:r>
        <w:rPr>
          <w:color w:val="374151"/>
          <w:sz w:val="22"/>
          <w:szCs w:val="22"/>
          <w:rFonts w:ascii="Calibri" w:cs="Calibri" w:eastAsia="Calibri" w:hAnsi="Calibri"/>
        </w:rPr>
        <w:t xml:space="preserve">Plano de recuperação de desastres (PRD)</w:t>
      </w:r>
    </w:p>
    <w:p>
      <w:pPr>
        <w:pStyle w:val="ListParagraph"/>
        <w:numPr>
          <w:ilvl w:val="0"/>
          <w:numId w:val="1"/>
        </w:numPr>
        <w:spacing w:after="80"/>
      </w:pPr>
      <w:r>
        <w:rPr>
          <w:color w:val="374151"/>
          <w:sz w:val="22"/>
          <w:szCs w:val="22"/>
          <w:rFonts w:ascii="Calibri" w:cs="Calibri" w:eastAsia="Calibri" w:hAnsi="Calibri"/>
        </w:rPr>
        <w:t xml:space="preserve">Política de gestão de acessos e identidades</w:t>
      </w:r>
    </w:p>
    <w:p>
      <w:pPr>
        <w:pStyle w:val="ListParagraph"/>
        <w:numPr>
          <w:ilvl w:val="0"/>
          <w:numId w:val="1"/>
        </w:numPr>
        <w:spacing w:after="80"/>
      </w:pPr>
      <w:r>
        <w:rPr>
          <w:color w:val="374151"/>
          <w:sz w:val="22"/>
          <w:szCs w:val="22"/>
          <w:rFonts w:ascii="Calibri" w:cs="Calibri" w:eastAsia="Calibri" w:hAnsi="Calibri"/>
        </w:rPr>
        <w:t xml:space="preserve">Política de cópias de segurança</w:t>
      </w:r>
    </w:p>
    <w:p>
      <w:pPr>
        <w:pStyle w:val="ListParagraph"/>
        <w:numPr>
          <w:ilvl w:val="0"/>
          <w:numId w:val="1"/>
        </w:numPr>
        <w:spacing w:after="80"/>
      </w:pPr>
      <w:r>
        <w:rPr>
          <w:color w:val="374151"/>
          <w:sz w:val="22"/>
          <w:szCs w:val="22"/>
          <w:rFonts w:ascii="Calibri" w:cs="Calibri" w:eastAsia="Calibri" w:hAnsi="Calibri"/>
        </w:rPr>
        <w:t xml:space="preserve">Política de desenvolvimento seguro de software</w:t>
      </w:r>
    </w:p>
    <w:p>
      <w:pPr>
        <w:pStyle w:val="ListParagraph"/>
        <w:numPr>
          <w:ilvl w:val="0"/>
          <w:numId w:val="1"/>
        </w:numPr>
        <w:spacing w:after="80"/>
      </w:pPr>
      <w:r>
        <w:rPr>
          <w:color w:val="374151"/>
          <w:sz w:val="22"/>
          <w:szCs w:val="22"/>
          <w:rFonts w:ascii="Calibri" w:cs="Calibri" w:eastAsia="Calibri" w:hAnsi="Calibri"/>
        </w:rPr>
        <w:t xml:space="preserve">Política de gestão de fornecedores e cadeia de abastecimento</w:t>
      </w:r>
    </w:p>
    <w:p>
      <w:pPr>
        <w:pStyle w:val="ListParagraph"/>
        <w:numPr>
          <w:ilvl w:val="0"/>
          <w:numId w:val="1"/>
        </w:numPr>
        <w:spacing w:after="80"/>
      </w:pPr>
      <w:r>
        <w:rPr>
          <w:color w:val="374151"/>
          <w:sz w:val="22"/>
          <w:szCs w:val="22"/>
          <w:rFonts w:ascii="Calibri" w:cs="Calibri" w:eastAsia="Calibri" w:hAnsi="Calibri"/>
        </w:rPr>
        <w:t xml:space="preserve">Política de utilização aceitável de sistemas de informação</w:t>
      </w:r>
    </w:p>
    <w:p>
      <w:pPr>
        <w:pStyle w:val="ListParagraph"/>
        <w:numPr>
          <w:ilvl w:val="0"/>
          <w:numId w:val="1"/>
        </w:numPr>
        <w:spacing w:after="80"/>
      </w:pPr>
      <w:r>
        <w:rPr>
          <w:color w:val="374151"/>
          <w:sz w:val="22"/>
          <w:szCs w:val="22"/>
          <w:rFonts w:ascii="Calibri" w:cs="Calibri" w:eastAsia="Calibri" w:hAnsi="Calibri"/>
        </w:rPr>
        <w:t xml:space="preserve">Política de classificação da informação</w:t>
      </w:r>
    </w:p>
    <w:p>
      <w:pPr>
        <w:pStyle w:val="ListParagraph"/>
        <w:numPr>
          <w:ilvl w:val="0"/>
          <w:numId w:val="1"/>
        </w:numPr>
        <w:spacing w:after="80"/>
      </w:pPr>
      <w:r>
        <w:rPr>
          <w:color w:val="374151"/>
          <w:sz w:val="22"/>
          <w:szCs w:val="22"/>
          <w:rFonts w:ascii="Calibri" w:cs="Calibri" w:eastAsia="Calibri" w:hAnsi="Calibri"/>
        </w:rPr>
        <w:t xml:space="preserve">Política de trabalho remoto e dispositivos móveis</w:t>
      </w:r>
    </w:p>
    <w:p>
      <w:pPr>
        <w:pStyle w:val="ListParagraph"/>
        <w:numPr>
          <w:ilvl w:val="0"/>
          <w:numId w:val="1"/>
        </w:numPr>
        <w:spacing w:after="80"/>
      </w:pPr>
      <w:r>
        <w:rPr>
          <w:color w:val="374151"/>
          <w:sz w:val="22"/>
          <w:szCs w:val="22"/>
          <w:rFonts w:ascii="Calibri" w:cs="Calibri" w:eastAsia="Calibri" w:hAnsi="Calibri"/>
        </w:rPr>
        <w:t xml:space="preserve">Política de criptografia e gestão de chaves</w:t>
      </w:r>
    </w:p>
    <w:p>
      <w:pPr>
        <w:pStyle w:val="ListParagraph"/>
        <w:numPr>
          <w:ilvl w:val="0"/>
          <w:numId w:val="1"/>
        </w:numPr>
        <w:spacing w:after="80"/>
      </w:pPr>
      <w:r>
        <w:rPr>
          <w:color w:val="374151"/>
          <w:sz w:val="22"/>
          <w:szCs w:val="22"/>
          <w:rFonts w:ascii="Calibri" w:cs="Calibri" w:eastAsia="Calibri" w:hAnsi="Calibri"/>
        </w:rPr>
        <w:t xml:space="preserve">Procedimento de gestão de vulnerabilidades</w:t>
      </w:r>
    </w:p>
    <w:p>
      <w:pPr>
        <w:pStyle w:val="ListParagraph"/>
        <w:numPr>
          <w:ilvl w:val="0"/>
          <w:numId w:val="1"/>
        </w:numPr>
        <w:spacing w:after="80"/>
      </w:pPr>
      <w:r>
        <w:rPr>
          <w:color w:val="374151"/>
          <w:sz w:val="22"/>
          <w:szCs w:val="22"/>
          <w:rFonts w:ascii="Calibri" w:cs="Calibri" w:eastAsia="Calibri" w:hAnsi="Calibri"/>
        </w:rPr>
        <w:t xml:space="preserve">Registo de riscos de cibersegurança</w:t>
      </w:r>
    </w:p>
    <w:p>
      <w:pPr>
        <w:pStyle w:val="ListParagraph"/>
        <w:numPr>
          <w:ilvl w:val="0"/>
          <w:numId w:val="1"/>
        </w:numPr>
        <w:spacing w:after="80"/>
      </w:pPr>
      <w:r>
        <w:rPr>
          <w:color w:val="374151"/>
          <w:sz w:val="22"/>
          <w:szCs w:val="22"/>
          <w:rFonts w:ascii="Calibri" w:cs="Calibri" w:eastAsia="Calibri" w:hAnsi="Calibri"/>
        </w:rPr>
        <w:t xml:space="preserve">Registo de ativos de informação</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Política de segurança da informação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2026-03-18T13:34:02.107Z</dcterms:created>
  <dcterms:modified xsi:type="dcterms:W3CDTF">2026-03-18T13:34:02.107Z</dcterms:modified>
</cp:coreProperties>
</file>

<file path=docProps/custom.xml><?xml version="1.0" encoding="utf-8"?>
<Properties xmlns="http://schemas.openxmlformats.org/officeDocument/2006/custom-properties" xmlns:vt="http://schemas.openxmlformats.org/officeDocument/2006/docPropsVTypes"/>
</file>