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0"/>
      </w:pPr>
    </w:p>
    <w:p>
      <w:pPr>
        <w:spacing w:after="600"/>
        <w:jc w:val="center"/>
      </w:pPr>
      <w:r>
        <w:rPr>
          <w:i/>
          <w:iCs/>
          <w:color w:val="9ca3af"/>
          <w:sz w:val="22"/>
          <w:szCs w:val="22"/>
          <w:rFonts w:ascii="Calibri" w:cs="Calibri" w:eastAsia="Calibri" w:hAnsi="Calibri"/>
        </w:rPr>
        <w:t xml:space="preserve">[Nome da organização]</w:t>
      </w:r>
    </w:p>
    <w:p>
      <w:pPr>
        <w:spacing w:after="300"/>
        <w:jc w:val="center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Política de segurança de rede</w:t>
      </w:r>
    </w:p>
    <w:p>
      <w:pPr>
        <w:spacing w:after="1200"/>
        <w:jc w:val="center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Conformidade com o Decreto-Lei n.º 125/2025 (NIS2)</w:t>
      </w:r>
    </w:p>
    <w:p>
      <w:pPr>
        <w:spacing w:after="160"/>
        <w:jc w:val="center"/>
      </w:pPr>
      <w:r>
        <w:rPr>
          <w:b/>
          <w:bCs/>
          <w:color w:val="374151"/>
          <w:sz w:val="22"/>
          <w:szCs w:val="22"/>
          <w:rFonts w:ascii="Calibri" w:cs="Calibri" w:eastAsia="Calibri" w:hAnsi="Calibri"/>
        </w:rPr>
        <w:t xml:space="preserve">Versão: </w:t>
      </w:r>
      <w:r>
        <w:rPr>
          <w:color w:val="374151"/>
          <w:sz w:val="22"/>
          <w:szCs w:val="22"/>
          <w:rFonts w:ascii="Calibri" w:cs="Calibri" w:eastAsia="Calibri" w:hAnsi="Calibri"/>
        </w:rPr>
        <w:t xml:space="preserve">1.0</w:t>
      </w:r>
    </w:p>
    <w:p>
      <w:pPr>
        <w:spacing w:after="160"/>
        <w:jc w:val="center"/>
      </w:pPr>
      <w:r>
        <w:rPr>
          <w:b/>
          <w:bCs/>
          <w:color w:val="374151"/>
          <w:sz w:val="22"/>
          <w:szCs w:val="22"/>
          <w:rFonts w:ascii="Calibri" w:cs="Calibri" w:eastAsia="Calibri" w:hAnsi="Calibri"/>
        </w:rPr>
        <w:t xml:space="preserve">Data: </w:t>
      </w:r>
      <w:r>
        <w:rPr>
          <w:color w:val="374151"/>
          <w:sz w:val="22"/>
          <w:szCs w:val="22"/>
          <w:rFonts w:ascii="Calibri" w:cs="Calibri" w:eastAsia="Calibri" w:hAnsi="Calibri"/>
        </w:rPr>
        <w:t xml:space="preserve">18/03/2026</w:t>
      </w:r>
    </w:p>
    <w:p>
      <w:pPr>
        <w:spacing w:after="400"/>
        <w:jc w:val="center"/>
      </w:pPr>
      <w:r>
        <w:rPr>
          <w:b/>
          <w:bCs/>
          <w:color w:val="374151"/>
          <w:sz w:val="22"/>
          <w:szCs w:val="22"/>
          <w:rFonts w:ascii="Calibri" w:cs="Calibri" w:eastAsia="Calibri" w:hAnsi="Calibri"/>
        </w:rPr>
        <w:t xml:space="preserve">Classificação: </w:t>
      </w:r>
      <w:r>
        <w:rPr>
          <w:b/>
          <w:bCs/>
          <w:color w:val="dc2626"/>
          <w:sz w:val="22"/>
          <w:szCs w:val="22"/>
          <w:rFonts w:ascii="Calibri" w:cs="Calibri" w:eastAsia="Calibri" w:hAnsi="Calibri"/>
        </w:rPr>
        <w:t xml:space="preserve">Confidencial</w:t>
      </w:r>
    </w:p>
    <w:p>
      <w:r>
        <w:br w:type="page"/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Controlo de versões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shd w:color="1e3a8a" w:val="solid"/>
            <w:vAlign w:val="center"/>
          </w:tcPr>
          <w:p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Versão</w:t>
            </w:r>
          </w:p>
        </w:tc>
        <w:tc>
          <w:tcPr>
            <w:shd w:color="1e3a8a" w:val="solid"/>
            <w:vAlign w:val="center"/>
          </w:tcPr>
          <w:p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Data</w:t>
            </w:r>
          </w:p>
        </w:tc>
        <w:tc>
          <w:tcPr>
            <w:shd w:color="1e3a8a" w:val="solid"/>
            <w:vAlign w:val="center"/>
          </w:tcPr>
          <w:p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Autor</w:t>
            </w:r>
          </w:p>
        </w:tc>
        <w:tc>
          <w:tcPr>
            <w:shd w:color="1e3a8a" w:val="solid"/>
            <w:vAlign w:val="center"/>
          </w:tcPr>
          <w:p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Alterações</w:t>
            </w:r>
          </w:p>
        </w:tc>
        <w:tc>
          <w:tcPr>
            <w:shd w:color="1e3a8a" w:val="solid"/>
            <w:vAlign w:val="center"/>
          </w:tcPr>
          <w:p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Aprovado por</w:t>
            </w:r>
          </w:p>
        </w:tc>
      </w:tr>
      <w:tr>
        <w:tc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1.0</w:t>
            </w:r>
          </w:p>
        </w:tc>
        <w:tc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</w:r>
          </w:p>
        </w:tc>
        <w:tc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[Autor]</w:t>
            </w:r>
          </w:p>
        </w:tc>
        <w:tc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Versão inicial</w:t>
            </w:r>
          </w:p>
        </w:tc>
        <w:tc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[Aprovador]</w:t>
            </w:r>
          </w:p>
        </w:tc>
      </w:tr>
    </w:tbl>
    <w:p>
      <w:r>
        <w:br w:type="page"/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Índice</w:t>
      </w:r>
    </w:p>
    <w:sdt>
      <w:sdtPr>
        <w:alias w:val="Índice"/>
      </w:sdtPr>
      <w:sdtContent>
        <w:p>
          <w:r>
            <w:fldChar w:fldCharType="begin" w:dirty="true"/>
            <w:instrText xml:space="preserve">TOC \h \o "1-3" \t "undefined,1,undefined,2,undefined,3"</w:instrText>
            <w:fldChar w:fldCharType="separate"/>
          </w:r>
        </w:p>
        <w:p>
          <w:r>
            <w:fldChar w:fldCharType="end"/>
          </w:r>
        </w:p>
      </w:sdtContent>
    </w:sdt>
    <w:p>
      <w:r>
        <w:br w:type="page"/>
      </w:r>
    </w:p>
    <w:p>
      <w:pPr>
        <w:pStyle w:val="Heading1"/>
        <w:spacing w:before="400" w:after="200"/>
      </w:pPr>
      <w:r>
        <w:rPr>
          <w:b/>
          <w:bCs/>
          <w:color w:val="1e3a8a"/>
          <w:sz w:val="32"/>
          <w:szCs w:val="32"/>
          <w:rFonts w:ascii="Calibri" w:cs="Calibri" w:eastAsia="Calibri" w:hAnsi="Calibri"/>
        </w:rPr>
        <w:t xml:space="preserve">1. Objetivo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 presente política de segurança de rede estabelece os requisitos, controlos e arquitetura para a proteção das redes de comunicação de [Nome da organização], incluindo redes locais, redes sem fios, ligações a redes externas e ambientes de nuvem, em conformidade com o Decreto-Lei n.º 125/2025 e as normas ISO/IEC 27033.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 rede é a espinha dorsal dos sistemas de informação de qualquer organização. Uma rede mal protegida permite o acesso não autorizado a sistemas e dados, a propagação de malware, a intercetação de comunicações e o lançamento de ataques internos. A segurança de rede eficaz combina arquitetura adequada, controlos técnicos robustos e monitorização contínua para detetar e responder a ameaças em tempo real.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Esta política define os princípios de arquitetura de rede segura, os requisitos de segmentação e filtragem de tráfego, os padrões para redes sem fios, os requisitos de monitorização e os procedimentos de gestão de dispositivos de rede. A política deve ser lida em conjunto com a política de controlo de acessos e a política de trabalho remoto.</w:t>
      </w:r>
    </w:p>
    <w:p>
      <w:pPr>
        <w:shd w:color="dbeafe" w:val="solid"/>
        <w:spacing w:before="160" w:after="160"/>
        <w:ind w:left="360" w:right="360"/>
      </w:pPr>
      <w:r>
        <w:rPr>
          <w:i/>
          <w:iCs/>
          <w:color w:val="1e3a8a"/>
          <w:sz w:val="22"/>
          <w:szCs w:val="22"/>
          <w:rFonts w:ascii="Calibri" w:cs="Calibri" w:eastAsia="Calibri" w:hAnsi="Calibri"/>
        </w:rPr>
        <w:t xml:space="preserve">Art. 27.º do DL 125/2025 - medidas de gestão dos riscos de cibersegurança incluindo segurança dos sistemas de rede e informação, controlo de acessos e monitorização.</w:t>
      </w:r>
    </w:p>
    <w:p>
      <w:pPr>
        <w:pStyle w:val="Heading1"/>
        <w:spacing w:before="400" w:after="200"/>
      </w:pPr>
      <w:r>
        <w:rPr>
          <w:b/>
          <w:bCs/>
          <w:color w:val="1e3a8a"/>
          <w:sz w:val="32"/>
          <w:szCs w:val="32"/>
          <w:rFonts w:ascii="Calibri" w:cs="Calibri" w:eastAsia="Calibri" w:hAnsi="Calibri"/>
        </w:rPr>
        <w:t xml:space="preserve">2. Âmbito de aplicação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Esta política aplica-se a: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Toda a infraestrutura de rede da organização, incluindo switches, routers, firewalls e balanceadores de carga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Redes sem fios (Wi-Fi) geridas pela organização em todas as instalações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Ligações de redes externas: internet, MPLS, SD-WAN e ligações de parceiros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Ambientes de nuvem: redes virtuais (VPC), grupos de segurança e interligações híbridas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Redes de controlo industrial (OT/ICS) e redes IoT quando geridas pela organização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Redes de visitantes e redes isoladas para dispositivos não geridos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Todos os colaboradores e fornecedores que configuram ou gerem componentes de rede</w:t>
      </w:r>
    </w:p>
    <w:p>
      <w:r>
        <w:br w:type="page"/>
      </w:r>
    </w:p>
    <w:p>
      <w:pPr>
        <w:pStyle w:val="Heading1"/>
        <w:spacing w:before="400" w:after="200"/>
      </w:pPr>
      <w:r>
        <w:rPr>
          <w:b/>
          <w:bCs/>
          <w:color w:val="1e3a8a"/>
          <w:sz w:val="32"/>
          <w:szCs w:val="32"/>
          <w:rFonts w:ascii="Calibri" w:cs="Calibri" w:eastAsia="Calibri" w:hAnsi="Calibri"/>
        </w:rPr>
        <w:t xml:space="preserve">3. Arquitetura de rede segura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 organização adota uma arquitetura de rede baseada no princípio da defesa em profundidade, com múltiplas camadas de controlos de segurança que garantem que a comprometimento de uma camada não implica o acesso imediato a ativos críticos. A arquitetura é documentada e mantida atualizada, refletindo o estado real da rede.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Os princípios arquiteturais de segurança de rede aplicados são: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Defesa em profundidade: múltiplas camadas de controlo em diferentes pontos da rede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Menor superfície de ataque: eliminar serviços, portas e protocolos desnecessários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Segmentação: dividir a rede em zonas com diferentes níveis de confiança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Princípio do menor privilégio: aplicado ao tráfego de rede (deny all, permit by exception)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Redundância: evitar pontos únicos de falha em componentes de rede críticos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Visibilidade: monitorizar todo o tráfego relevante para deteção de ameaças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 arquitetura de rede da organização é revista anualmente e sempre que ocorram alterações significativas na infraestrutura, na topologia ou nos riscos identificados. As alterações à arquitetura de rede são sujeitas a revisão de segurança antes de implementação.</w:t>
      </w:r>
    </w:p>
    <w:p>
      <w:pPr>
        <w:pStyle w:val="Heading1"/>
        <w:spacing w:before="400" w:after="200"/>
      </w:pPr>
      <w:r>
        <w:rPr>
          <w:b/>
          <w:bCs/>
          <w:color w:val="1e3a8a"/>
          <w:sz w:val="32"/>
          <w:szCs w:val="32"/>
          <w:rFonts w:ascii="Calibri" w:cs="Calibri" w:eastAsia="Calibri" w:hAnsi="Calibri"/>
        </w:rPr>
        <w:t xml:space="preserve">4. Segmentação de rede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 segmentação de rede divide a infraestrutura em zonas com diferentes níveis de confiança e sensibilidade, limitando a propagação de ameaças dentro da rede e reduzindo o impacto de um compromisso. A comunicação entre segmentos é controlada por regras de firewall baseadas no princípio do menor privilégio.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 organização implementa, no mínimo, os seguintes segmentos de rede: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Zona de internet (Internet): rede pública, sem confiança implícita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Zona desmilitarizada (DMZ): sistemas expostos à internet, como servidores web e email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Rede corporativa interna: sistemas e utilizadores internos com nível de confiança moderado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Zona de sistemas críticos: servidores de bases de dados, sistemas financeiros e ERP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Zona de gestão (Out-of-Band): rede de gestão de infraestrutura, acesso restrito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Rede de visitantes: acesso à internet para visitantes, sem acesso a recursos internos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Rede IoT/OT: dispositivos especializados, isolados da rede corporativa principal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As VLANs são o mecanismo principal de segmentação para ambientes locais. Em ambientes de nuvem, são utilizados grupos de segurança e redes virtuais privadas (VPC) para implementar a segmentação. Microsegmentação adicional pode ser implementada através de tecnologias de firewall de próxima geração (NGFW) para controlo de tráfego este-oeste.</w:t>
      </w:r>
    </w:p>
    <w:p>
      <w:pPr>
        <w:shd w:color="dbeafe" w:val="solid"/>
        <w:spacing w:before="160" w:after="160"/>
        <w:ind w:left="360" w:right="360"/>
      </w:pPr>
      <w:r>
        <w:rPr>
          <w:i/>
          <w:iCs/>
          <w:color w:val="1e3a8a"/>
          <w:sz w:val="22"/>
          <w:szCs w:val="22"/>
          <w:rFonts w:ascii="Calibri" w:cs="Calibri" w:eastAsia="Calibri" w:hAnsi="Calibri"/>
        </w:rPr>
        <w:t xml:space="preserve">Art. 27.º do DL 125/2025 - medidas de segurança dos sistemas de rede e informação, incluindo segmentação e controlos de acesso à rede.</w:t>
      </w:r>
    </w:p>
    <w:p>
      <w:r>
        <w:br w:type="page"/>
      </w:r>
    </w:p>
    <w:p>
      <w:pPr>
        <w:pStyle w:val="Heading1"/>
        <w:spacing w:before="400" w:after="200"/>
      </w:pPr>
      <w:r>
        <w:rPr>
          <w:b/>
          <w:bCs/>
          <w:color w:val="1e3a8a"/>
          <w:sz w:val="32"/>
          <w:szCs w:val="32"/>
          <w:rFonts w:ascii="Calibri" w:cs="Calibri" w:eastAsia="Calibri" w:hAnsi="Calibri"/>
        </w:rPr>
        <w:t xml:space="preserve">5. Firewalls e filtragem de tráfego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As firewalls são o principal mecanismo de controlo de tráfego entre segmentos de rede. A organização implementa firewalls de próxima geração (NGFW) que combinam filtragem de pacotes tradicional com inspeção profunda de pacotes (DPI), controlo de aplicações e funcionalidades de prevenção de intrusões.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Os princípios de configuração de firewalls são: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Política padrão de bloqueio total (deny all): apenas tráfego explicitamente autorizado é permitido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Regras baseadas em identidade de aplicação e utilizador, além de IP e porta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Inspeção de tráfego encriptado (SSL/TLS inspection) para conteúdo de elevado risco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Regras documentadas com justificação de negócio, proprietário e data de revisão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Revisão trimestral das regras de firewall para identificar regras obsoletas ou excessivamente permissivas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Separação de funções: gestão de regras por pessoa diferente da que aprova as regras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Registo de todo o tráfego bloqueado e dos fluxos de elevado risco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As regras de firewall são documentadas num sistema de gestão de regras e sujeitas a processo formal de aprovação antes de implementação. A implementação de regras de emergência deve ser documentada retrospetivamente no prazo de 24 horas e sujeita a revisão de segurança no prazo de 5 dias.</w:t>
      </w:r>
    </w:p>
    <w:p>
      <w:pPr>
        <w:pStyle w:val="Heading1"/>
        <w:spacing w:before="400" w:after="200"/>
      </w:pPr>
      <w:r>
        <w:rPr>
          <w:b/>
          <w:bCs/>
          <w:color w:val="1e3a8a"/>
          <w:sz w:val="32"/>
          <w:szCs w:val="32"/>
          <w:rFonts w:ascii="Calibri" w:cs="Calibri" w:eastAsia="Calibri" w:hAnsi="Calibri"/>
        </w:rPr>
        <w:t xml:space="preserve">6. Zona desmilitarizada (DMZ)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 Zona Desmilitarizada (DMZ) é um segmento de rede intermédio que alberga sistemas que necessitam de comunicar com a internet mas que não devem ter acesso direto à rede interna. A DMZ protege a rede interna limitando a exposição de sistemas internos em caso de compromisso de um servidor exposto.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Os sistemas tipicamente colocados na DMZ incluem: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Servidores web e de aplicações expostos à internet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Servidores de email (MTA - Mail Transfer Agent)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Servidores proxy reverso e balanceadores de carga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Servidores DNS autoritativos externos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Gateways VPN para acessos remotos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Servidores de FTP e SFTP para partilha de ficheiros com parceiros externos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APIs expostas externamente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Os sistemas na DMZ têm acesso estritamente limitado à rede interna, permitindo apenas as ligações estritamente necessárias à sua função. Os sistemas internos nunca devem iniciar ligações para a DMZ - o tráfego deve sempre fluir de dentro para fora ou desde a internet para a DMZ, nunca da DMZ diretamente para a rede interna.</w:t>
      </w:r>
    </w:p>
    <w:p>
      <w:r>
        <w:br w:type="page"/>
      </w:r>
    </w:p>
    <w:p>
      <w:pPr>
        <w:pStyle w:val="Heading1"/>
        <w:spacing w:before="400" w:after="200"/>
      </w:pPr>
      <w:r>
        <w:rPr>
          <w:b/>
          <w:bCs/>
          <w:color w:val="1e3a8a"/>
          <w:sz w:val="32"/>
          <w:szCs w:val="32"/>
          <w:rFonts w:ascii="Calibri" w:cs="Calibri" w:eastAsia="Calibri" w:hAnsi="Calibri"/>
        </w:rPr>
        <w:t xml:space="preserve">7. Modelo Zero Trust de rede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 organização está a implementar progressivamente um modelo de rede Zero Trust que elimina a confiança implícita baseada na localização de rede. No modelo Zero Trust, cada pedido de acesso é autenticado, autorizado e verificado independentemente, seja originado dentro ou fora do perímetro de rede tradicional.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Os componentes do modelo Zero Trust de rede incluem: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Identidade como novo perímetro: cada utilizador e dispositivo é verificado em cada acesso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Network Access Control (NAC): verificação do estado de segurança do dispositivo antes de acesso à rede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Software-Defined Perimeter (SDP): microsegmentação dinâmica baseada em identidade e contexto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Monitorização contínua: análise de comportamentos de rede para deteção de anomalias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Acesso privilegiado Just-in-Time: concessão temporária de acessos adicionais quando necessário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 transição para Zero Trust é um processo plurianual. A organização prioriza a implementação nos sistemas mais críticos e expande progressivamente. O roadmap de Zero Trust é aprovado pelo órgão de gestão e revisto anualmente.</w:t>
      </w:r>
    </w:p>
    <w:p>
      <w:pPr>
        <w:pStyle w:val="Heading1"/>
        <w:spacing w:before="400" w:after="200"/>
      </w:pPr>
      <w:r>
        <w:rPr>
          <w:b/>
          <w:bCs/>
          <w:color w:val="1e3a8a"/>
          <w:sz w:val="32"/>
          <w:szCs w:val="32"/>
          <w:rFonts w:ascii="Calibri" w:cs="Calibri" w:eastAsia="Calibri" w:hAnsi="Calibri"/>
        </w:rPr>
        <w:t xml:space="preserve">8. Deteção e prevenção de intrusões (IDS/IPS)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 organização implementa sistemas de deteção de intrusões (IDS) e prevenção de intrusões (IPS) para monitorizar o tráfego de rede e identificar atividade suspeita ou maliciosa. O IDS deteta e alerta; o IPS deteta e bloqueia automaticamente ameaças identificadas.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Os requisitos de implementação de IDS/IPS são: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IPS na fronteira entre a internet e a DMZ (inline para bloqueio ativo)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IDS no perímetro da rede interna (para deteção de movimentos laterais)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Assinaturas de ameaças atualizadas automaticamente com frequência mínima diária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Afinação periódica das regras para reduzir falsos positivos sem comprometer a deteção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Integração com SIEM para correlação de alertas e resposta automatizada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Revisão trimestral das regras e da eficácia de deteção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Inspeção de tráfego encriptado para deteção de ameaças em canais HTTPS</w:t>
      </w:r>
    </w:p>
    <w:p>
      <w:pPr>
        <w:shd w:color="dbeafe" w:val="solid"/>
        <w:spacing w:before="160" w:after="160"/>
        <w:ind w:left="360" w:right="360"/>
      </w:pPr>
      <w:r>
        <w:rPr>
          <w:i/>
          <w:iCs/>
          <w:color w:val="1e3a8a"/>
          <w:sz w:val="22"/>
          <w:szCs w:val="22"/>
          <w:rFonts w:ascii="Calibri" w:cs="Calibri" w:eastAsia="Calibri" w:hAnsi="Calibri"/>
        </w:rPr>
        <w:t xml:space="preserve">Art. 27.º do DL 125/2025 - medidas de segurança de sistemas de rede incluindo monitorização e deteção de ameaças em tempo real.</w:t>
      </w:r>
    </w:p>
    <w:p>
      <w:r>
        <w:br w:type="page"/>
      </w:r>
    </w:p>
    <w:p>
      <w:pPr>
        <w:pStyle w:val="Heading1"/>
        <w:spacing w:before="400" w:after="200"/>
      </w:pPr>
      <w:r>
        <w:rPr>
          <w:b/>
          <w:bCs/>
          <w:color w:val="1e3a8a"/>
          <w:sz w:val="32"/>
          <w:szCs w:val="32"/>
          <w:rFonts w:ascii="Calibri" w:cs="Calibri" w:eastAsia="Calibri" w:hAnsi="Calibri"/>
        </w:rPr>
        <w:t xml:space="preserve">9. Segurança de redes sem fios (Wi-Fi)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As redes sem fios apresentam riscos específicos de segurança, uma vez que o sinal de rádio pode ser intercetado por qualquer pessoa dentro do alcance físico do ponto de acesso. A organização implementa controlos rigorosos para as redes Wi-Fi geridas, garantindo que apenas dispositivos autorizados acedem às redes corporativas.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Os requisitos de segurança para redes Wi-Fi corporativas são: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Protocolo de encriptação: WPA3 Enterprise (obrigatório para novas instalações); WPA2 Enterprise (sistemas legados)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Autenticação: 802.1X com certificados de dispositivo ou credenciais RADIUS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SSID de rede corporativa: não difundido (hidden SSID) para dificultar a descoberta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Redes Wi-Fi separadas por finalidade: corporativa, visitantes, IoT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Segmentação de tráfego por VLAN entre redes Wi-Fi e redes com fios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Monitorização de pontos de acesso não autorizados (rogue AP detection)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Revogação automática de acesso a dispositivos não conformes com a política de segurança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Os requisitos para a rede Wi-Fi de visitantes são: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Rede completamente isolada da rede corporativa, sem acesso a recursos internos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Portal captivo com termos de utilização aceitável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Encriptação WPA2 ou WPA3 com password rotacionada periodicamente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Limitação de largura de banda por utilizador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Registo de ligações de visitantes com conservação mínima de 12 meses (requisito legal)</w:t>
      </w:r>
    </w:p>
    <w:p>
      <w:pPr>
        <w:pStyle w:val="Heading1"/>
        <w:spacing w:before="400" w:after="200"/>
      </w:pPr>
      <w:r>
        <w:rPr>
          <w:b/>
          <w:bCs/>
          <w:color w:val="1e3a8a"/>
          <w:sz w:val="32"/>
          <w:szCs w:val="32"/>
          <w:rFonts w:ascii="Calibri" w:cs="Calibri" w:eastAsia="Calibri" w:hAnsi="Calibri"/>
        </w:rPr>
        <w:t xml:space="preserve">10. Monitorização de rede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 monitorização contínua da rede é essencial para detetar ameaças, anomalias e incidentes em tempo útil. A organização implementa uma plataforma centralizada de monitorização que agrega logs e telemetria de todos os componentes de rede e os correlaciona para deteção de ameaças.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Os elementos mínimos a monitorizar na rede incluem: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Logs de firewall: todo o tráfego bloqueado e os fluxos de elevado risco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Logs de IDS/IPS: alertas de deteção e bloqueio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Fluxos de rede (NetFlow/IPFIX): padrões de tráfego entre sistemas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Logs de autenticação de rede (802.1X, VPN, Wi-Fi)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Estado e alertas de dispositivos de rede (routers, switches, firewalls)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Consultas DNS: para deteção de domínios maliciosos e exfiltração de dados via DNS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Tráfego de saída para a internet: para deteção de comunicações de C2 e exfiltração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Os logs de rede são centralizados no SIEM com regras de correlação para deteção de ameaças conhecidas e anomalias de comportamento. Alertas de elevada prioridade são respondidos no prazo máximo de 30 minutos em horário de expediente e 2 horas fora de horário.</w:t>
      </w:r>
    </w:p>
    <w:p>
      <w:r>
        <w:br w:type="page"/>
      </w:r>
    </w:p>
    <w:p>
      <w:pPr>
        <w:pStyle w:val="Heading1"/>
        <w:spacing w:before="400" w:after="200"/>
      </w:pPr>
      <w:r>
        <w:rPr>
          <w:b/>
          <w:bCs/>
          <w:color w:val="1e3a8a"/>
          <w:sz w:val="32"/>
          <w:szCs w:val="32"/>
          <w:rFonts w:ascii="Calibri" w:cs="Calibri" w:eastAsia="Calibri" w:hAnsi="Calibri"/>
        </w:rPr>
        <w:t xml:space="preserve">11. Gestão de dispositivos de rede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Os dispositivos de rede, como routers, switches e firewalls, são componentes críticos da infraestrutura que devem ser geridos com o mesmo rigor que outros sistemas críticos. A comprometimento de um dispositivo de rede pode dar acesso a todo o tráfego que passa por ele.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Os requisitos de gestão de dispositivos de rede incluem: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Inventário completo e atualizado de todos os dispositivos de rede (hardware, firmware, localização)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Alteração obrigatória de credenciais padrão de fábrica antes de qualquer dispositivo entrar em produção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Atualização de firmware com patches de segurança no prazo dos SLAs de vulnerabilidades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Configurações de segurança base (hardening) para cada tipo de dispositivo, com verificação periódica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Acesso de gestão exclusivamente através de rede de gestão dedicada (out-of-band)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Autenticação multifator para acesso administrativo a dispositivos críticos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Gestão centralizada de configurações com controlo de versões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Backup regular das configurações de todos os dispositivos de rede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Nenhum dispositivo de rede não autorizado pode ser ligado à rede corporativa sem aprovação prévia do departamento de TI. O Network Access Control (NAC) garante o cumprimento deste requisito de forma automática, impedindo o acesso de dispositivos não autorizados ou não conformes.</w:t>
      </w:r>
    </w:p>
    <w:p>
      <w:pPr>
        <w:pStyle w:val="Heading1"/>
        <w:spacing w:before="400" w:after="200"/>
      </w:pPr>
      <w:r>
        <w:rPr>
          <w:b/>
          <w:bCs/>
          <w:color w:val="1e3a8a"/>
          <w:sz w:val="32"/>
          <w:szCs w:val="32"/>
          <w:rFonts w:ascii="Calibri" w:cs="Calibri" w:eastAsia="Calibri" w:hAnsi="Calibri"/>
        </w:rPr>
        <w:t xml:space="preserve">12. VPN e acesso remoto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 VPN (Virtual Private Network) é o mecanismo aprovado para acesso remoto à rede interna da organização. Toda a gestão de acesso remoto, incluindo soluções VPN e acessos remotos de terceiros, deve obedecer aos requisitos definidos na Política de Trabalho Remoto, complementados pelos seguintes requisitos de infraestrutura de rede.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Os requisitos de infraestrutura VPN são: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Infraestrutura VPN redundante com alta disponibilidade (mínimo dois gateways)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Encriptação forte: IKEv2 com AES-256 e Perfect Forward Secrecy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Autenticação multifator integrada na solução VPN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Split tunneling: todo o tráfego deve passar pela VPN (no split tunneling) para sistemas críticos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Logging completo de sessões VPN: utilizador, dispositivo, duração, volume de dados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Capacidade de revogar sessões VPN ativas em tempo real em caso de incidente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Verificação do estado de segurança do dispositivo (NAC) antes de estabelecer a sessão VPN</w:t>
      </w:r>
    </w:p>
    <w:p>
      <w:pPr>
        <w:pStyle w:val="Heading1"/>
        <w:spacing w:before="400" w:after="200"/>
      </w:pPr>
      <w:r>
        <w:rPr>
          <w:b/>
          <w:bCs/>
          <w:color w:val="1e3a8a"/>
          <w:sz w:val="32"/>
          <w:szCs w:val="32"/>
          <w:rFonts w:ascii="Calibri" w:cs="Calibri" w:eastAsia="Calibri" w:hAnsi="Calibri"/>
        </w:rPr>
        <w:t xml:space="preserve">13. Registo e auditoria de rede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O registo completo das atividades de rede é fundamental para a deteção de incidentes, a investigação forense e a demonstração de conformidade regulamentar. A organização garante que todos os eventos de rede relevantes são registados, protegidos contra alteração e conservados pelo período adequado.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Os requisitos de registo de rede incluem: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Todos os logs de rede sincronizados com servidor NTP corporativo (tempo consistente)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Centralização de logs num sistema SIEM com acesso controlado e auditado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Proteção dos logs contra alteração não autorizada (write-once storage)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Retenção de logs de rede: mínimo 12 meses em armazenamento ativo e 5 anos em arquivo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Verificação de integridade dos logs armazenados (checksums)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Acesso aos logs de rede restrito ao responsável de cibersegurança e auditores autorizados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Exportação de logs sujeita a aprovação e registo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As auditorias de configuração de rede são realizadas semestralmente para verificar a conformidade com esta política e a adequação dos controlos implementados. Os resultados são documentados e os desvios corrigidos no prazo definido pelo responsável de cibersegurança.</w:t>
      </w:r>
    </w:p>
    <w:p>
      <w:pPr>
        <w:shd w:color="dbeafe" w:val="solid"/>
        <w:spacing w:before="160" w:after="160"/>
        <w:ind w:left="360" w:right="360"/>
      </w:pPr>
      <w:r>
        <w:rPr>
          <w:i/>
          <w:iCs/>
          <w:color w:val="1e3a8a"/>
          <w:sz w:val="22"/>
          <w:szCs w:val="22"/>
          <w:rFonts w:ascii="Calibri" w:cs="Calibri" w:eastAsia="Calibri" w:hAnsi="Calibri"/>
        </w:rPr>
        <w:t xml:space="preserve">Art. 27.º do DL 125/2025 - segurança dos sistemas de rede e informação, incluindo monitorização, registo e auditoria como medidas mínimas de cibersegurança.</w:t>
      </w:r>
    </w:p>
    <w:p>
      <w:r>
        <w:br w:type="page"/>
      </w:r>
    </w:p>
    <w:p>
      <w:pPr>
        <w:pStyle w:val="Heading1"/>
        <w:spacing w:before="400" w:after="200"/>
      </w:pPr>
      <w:r>
        <w:rPr>
          <w:b/>
          <w:bCs/>
          <w:color w:val="1e3a8a"/>
          <w:sz w:val="32"/>
          <w:szCs w:val="32"/>
          <w:rFonts w:ascii="Calibri" w:cs="Calibri" w:eastAsia="Calibri" w:hAnsi="Calibri"/>
        </w:rPr>
        <w:t xml:space="preserve">14. Responsabilidades</w:t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14.1. Responsável de cibersegurança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Definir e manter a política e arquitetura de segurança de rede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Supervisionar a implementação dos controlos de segurança de rede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Aprovar alterações significativas à arquitetura de rede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Analisar relatórios de monitorização e responder a incidentes de rede</w:t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14.2. Administradores de rede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Implementar e manter os controlos técnicos de segurança de rede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Gerir as regras de firewall e os sistemas de deteção de intrusões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Monitorizar o estado da rede e responder a alertas de segurança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Aplicar patches de segurança a dispositivos de rede de acordo com os SLAs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Manter a documentação atualizada da topologia e configuração de rede</w:t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14.3. Todos os utilizadores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Não ligar dispositivos não autorizados à rede corporativa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Não criar redes Wi-Fi pessoais (hotspots) dentro das instalações da organização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Reportar imediatamente redes Wi-Fi suspeitas ou não reconhecidas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Utilizar apenas a VPN corporativa para acessos remotos</w:t>
      </w:r>
    </w:p>
    <w:p>
      <w:pPr>
        <w:shd w:color="dbeafe" w:val="solid"/>
        <w:spacing w:before="160" w:after="160"/>
        <w:ind w:left="360" w:right="360"/>
      </w:pPr>
      <w:r>
        <w:rPr>
          <w:i/>
          <w:iCs/>
          <w:color w:val="1e3a8a"/>
          <w:sz w:val="22"/>
          <w:szCs w:val="22"/>
          <w:rFonts w:ascii="Calibri" w:cs="Calibri" w:eastAsia="Calibri" w:hAnsi="Calibri"/>
        </w:rPr>
        <w:t xml:space="preserve">Art. 25.º n.º 1 e Art. 27.º do DL 125/2025 - responsabilidade do órgão de gestão e obrigação de implementar medidas de segurança de rede proporcionais ao risco.</w:t>
      </w:r>
    </w:p>
    <w:sectPr>
      <w:headerReference w:type="default" r:id="rId6"/>
      <w:foot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1e3a8a" w:sz="6" w:space="1"/>
      </w:pBdr>
      <w:jc w:val="center"/>
    </w:pPr>
    <w:r>
      <w:rPr>
        <w:color w:val="9ca3af"/>
        <w:sz w:val="18"/>
        <w:szCs w:val="18"/>
        <w:rFonts w:ascii="Calibri" w:cs="Calibri" w:eastAsia="Calibri" w:hAnsi="Calibri"/>
      </w:rPr>
      <w:t xml:space="preserve">Confidencial  |  Página </w:t>
    </w:r>
    <w:r>
      <w:rPr>
        <w:color w:val="9ca3af"/>
        <w:sz w:val="18"/>
        <w:szCs w:val="18"/>
        <w:rFonts w:ascii="Calibri" w:cs="Calibri" w:eastAsia="Calibri" w:hAnsi="Calibri"/>
      </w:rPr>
      <w:fldChar w:fldCharType="begin"/>
      <w:instrText xml:space="preserve">PAGE</w:instrText>
      <w:fldChar w:fldCharType="separate"/>
      <w:fldChar w:fldCharType="end"/>
    </w:r>
    <w:r>
      <w:rPr>
        <w:color w:val="9ca3af"/>
        <w:sz w:val="18"/>
        <w:szCs w:val="18"/>
        <w:rFonts w:ascii="Calibri" w:cs="Calibri" w:eastAsia="Calibri" w:hAnsi="Calibri"/>
      </w:rPr>
      <w:t xml:space="preserve"> de </w:t>
    </w:r>
    <w:r>
      <w:rPr>
        <w:color w:val="9ca3af"/>
        <w:sz w:val="18"/>
        <w:szCs w:val="18"/>
        <w:rFonts w:ascii="Calibri" w:cs="Calibri" w:eastAsia="Calibri" w:hAnsi="Calibri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1e3a8a" w:sz="6" w:space="1"/>
      </w:pBdr>
      <w:jc w:val="right"/>
    </w:pPr>
    <w:r>
      <w:rPr>
        <w:color w:val="9ca3af"/>
        <w:sz w:val="18"/>
        <w:szCs w:val="18"/>
        <w:rFonts w:ascii="Calibri" w:cs="Calibri" w:eastAsia="Calibri" w:hAnsi="Calibri"/>
      </w:rPr>
      <w:t xml:space="preserve">Política de segurança de rede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updateFields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2026-03-18T13:34:03.021Z</dcterms:created>
  <dcterms:modified xsi:type="dcterms:W3CDTF">2026-03-18T13:34:03.021Z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