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Política de transferência segura de informação</w:t>
      </w:r>
    </w:p>
    <w:p>
      <w:pPr>
        <w:spacing w:after="1200"/>
        <w:jc w:val="center"/>
      </w:pPr>
      <w:r>
        <w:rPr>
          <w:color w:val="374151"/>
          <w:sz w:val="22"/>
          <w:szCs w:val="22"/>
          <w:rFonts w:ascii="Calibri" w:cs="Calibri" w:eastAsia="Calibri" w:hAnsi="Calibri"/>
        </w:rPr>
        <w:t xml:space="preserve">Conformidade com o Decreto-Lei n.º 125/2025 (NIS2), CIR 2024/2690 e RGPD</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2"/>
        <w:spacing w:before="320" w:after="160"/>
      </w:pPr>
      <w:r>
        <w:rPr>
          <w:b/>
          <w:bCs/>
          <w:color w:val="1e3a8a"/>
          <w:sz w:val="28"/>
          <w:szCs w:val="28"/>
          <w:rFonts w:ascii="Calibri" w:cs="Calibri" w:eastAsia="Calibri" w:hAnsi="Calibri"/>
        </w:rPr>
        <w:t xml:space="preserve">Índice</w:t>
      </w:r>
    </w:p>
    <w:sdt>
      <w:sdtPr>
        <w:alias w:val="Índice"/>
      </w:sdtPr>
      <w:sdtContent>
        <w:p>
          <w:r>
            <w:fldChar w:fldCharType="begin" w:dirty="true"/>
            <w:instrText xml:space="preserve">TOC \h \o "1-3" \t "undefined,1,undefined,2,undefined,3"</w:instrText>
            <w:fldChar w:fldCharType="separate"/>
          </w:r>
        </w:p>
        <w:p>
          <w:r>
            <w:fldChar w:fldCharType="end"/>
          </w:r>
        </w:p>
      </w:sdtContent>
    </w:sdt>
    <w:p>
      <w:r>
        <w:br w:type="page"/>
      </w:r>
    </w:p>
    <w:p>
      <w:pPr>
        <w:pStyle w:val="Heading1"/>
        <w:spacing w:before="400" w:after="200"/>
      </w:pPr>
      <w:r>
        <w:rPr>
          <w:b/>
          <w:bCs/>
          <w:color w:val="1e3a8a"/>
          <w:sz w:val="32"/>
          <w:szCs w:val="32"/>
          <w:rFonts w:ascii="Calibri" w:cs="Calibri" w:eastAsia="Calibri" w:hAnsi="Calibri"/>
        </w:rPr>
        <w:t xml:space="preserve">1. Objetivo e âmbito</w:t>
      </w:r>
    </w:p>
    <w:p>
      <w:pPr>
        <w:spacing w:after="160"/>
      </w:pPr>
      <w:r>
        <w:rPr>
          <w:color w:val="374151"/>
          <w:sz w:val="22"/>
          <w:szCs w:val="22"/>
          <w:rFonts w:ascii="Calibri" w:cs="Calibri" w:eastAsia="Calibri" w:hAnsi="Calibri"/>
        </w:rPr>
        <w:t xml:space="preserve">A presente política estabelece as regras e controlos aplicáveis à transferência segura de informação entre sistemas, departamentos, entidades externas e localizações geográficas de [Nome da organização], garantindo a confidencialidade, integridade e rastreabilidade de todos os dados transferidos.</w:t>
      </w:r>
    </w:p>
    <w:p>
      <w:pPr>
        <w:spacing w:after="160"/>
      </w:pPr>
      <w:r>
        <w:rPr>
          <w:color w:val="374151"/>
          <w:sz w:val="22"/>
          <w:szCs w:val="22"/>
          <w:rFonts w:ascii="Calibri" w:cs="Calibri" w:eastAsia="Calibri" w:hAnsi="Calibri"/>
        </w:rPr>
        <w:t xml:space="preserve">A transferência de informação é um ponto de vulnerabilidade crítico no ciclo de vida dos dados. Dados em trânsito são mais vulneráveis do que dados em repouso: a intercetação de comunicações, a utilização de canais não seguros, a transferência para destinatários errados e a fuga de dados através de suportes físicos são riscos concretos que requerem controlos específicos. Incidentes de fuga de dados durante transferências representam uma das principais categorias de violações de dados pessoais reportadas à CNPD.</w:t>
      </w:r>
    </w:p>
    <w:p>
      <w:pPr>
        <w:spacing w:after="160"/>
      </w:pPr>
      <w:r>
        <w:rPr>
          <w:color w:val="374151"/>
          <w:sz w:val="22"/>
          <w:szCs w:val="22"/>
          <w:rFonts w:ascii="Calibri" w:cs="Calibri" w:eastAsia="Calibri" w:hAnsi="Calibri"/>
        </w:rPr>
        <w:t xml:space="preserve">Esta política aplica-se a todas as transferências de informação classificada como interna ou superior, independentemente do meio utilizado: digital (email, SFTP, API, partilha cloud) ou físico (suportes removíveis, documentos impressos). Aplica-se a todos os colaboradores, prestadores de serviços e sistemas automatizados da organização.</w:t>
      </w:r>
    </w:p>
    <w:p>
      <w:pPr>
        <w:shd w:color="dbeafe" w:val="solid"/>
        <w:spacing w:before="160" w:after="160"/>
        <w:ind w:left="360" w:right="360"/>
      </w:pPr>
      <w:r>
        <w:rPr>
          <w:i/>
          <w:iCs/>
          <w:color w:val="1e3a8a"/>
          <w:sz w:val="22"/>
          <w:szCs w:val="22"/>
          <w:rFonts w:ascii="Calibri" w:cs="Calibri" w:eastAsia="Calibri" w:hAnsi="Calibri"/>
        </w:rPr>
        <w:t xml:space="preserve">Base legal: Art. 21.º, n.º 2, alínea j) da Diretiva NIS2; Art. 26.º do DL 125/2025 — proteção de dados em trânsito como medida obrigatória; CIR 2024/2690, Anexo; RGPD Art. 32.º — medidas técnicas de segurança para proteção de dados pessoais em trânsito.</w:t>
      </w:r>
    </w:p>
    <w:p>
      <w:pPr>
        <w:pStyle w:val="Heading1"/>
        <w:spacing w:before="400" w:after="200"/>
      </w:pPr>
      <w:r>
        <w:rPr>
          <w:b/>
          <w:bCs/>
          <w:color w:val="1e3a8a"/>
          <w:sz w:val="32"/>
          <w:szCs w:val="32"/>
          <w:rFonts w:ascii="Calibri" w:cs="Calibri" w:eastAsia="Calibri" w:hAnsi="Calibri"/>
        </w:rPr>
        <w:t xml:space="preserve">2. Enquadramento legal e normativo</w:t>
      </w:r>
    </w:p>
    <w:p>
      <w:pPr>
        <w:spacing w:after="160"/>
      </w:pPr>
      <w:r>
        <w:rPr>
          <w:color w:val="374151"/>
          <w:sz w:val="22"/>
          <w:szCs w:val="22"/>
          <w:rFonts w:ascii="Calibri" w:cs="Calibri" w:eastAsia="Calibri" w:hAnsi="Calibri"/>
        </w:rPr>
        <w:t xml:space="preserve">A transferência segura de informação é regulada por um conjunto de instrumentos legais e normativos que estabelecem requisitos específicos consoante o tipo de dado e o destino da transferência.</w:t>
      </w:r>
    </w:p>
    <w:p>
      <w:pPr>
        <w:pStyle w:val="ListParagraph"/>
        <w:numPr>
          <w:ilvl w:val="0"/>
          <w:numId w:val="1"/>
        </w:numPr>
        <w:spacing w:after="80"/>
      </w:pPr>
      <w:r>
        <w:rPr>
          <w:color w:val="374151"/>
          <w:sz w:val="22"/>
          <w:szCs w:val="22"/>
          <w:rFonts w:ascii="Calibri" w:cs="Calibri" w:eastAsia="Calibri" w:hAnsi="Calibri"/>
        </w:rPr>
        <w:t xml:space="preserve">Diretiva (UE) 2022/2555 (NIS2) — Art. 21.º, n.º 2, alínea j): encriptação de dados em trânsito como medida obrigatória para entidades essenciais e importantes</w:t>
      </w:r>
    </w:p>
    <w:p>
      <w:pPr>
        <w:pStyle w:val="ListParagraph"/>
        <w:numPr>
          <w:ilvl w:val="0"/>
          <w:numId w:val="1"/>
        </w:numPr>
        <w:spacing w:after="80"/>
      </w:pPr>
      <w:r>
        <w:rPr>
          <w:color w:val="374151"/>
          <w:sz w:val="22"/>
          <w:szCs w:val="22"/>
          <w:rFonts w:ascii="Calibri" w:cs="Calibri" w:eastAsia="Calibri" w:hAnsi="Calibri"/>
        </w:rPr>
        <w:t xml:space="preserve">Decreto-Lei n.º 125/2025, Art. 26.º — requisito de implementar medidas de encriptação de dados em trânsito e de controlo dos meios de transferência</w:t>
      </w:r>
    </w:p>
    <w:p>
      <w:pPr>
        <w:pStyle w:val="ListParagraph"/>
        <w:numPr>
          <w:ilvl w:val="0"/>
          <w:numId w:val="1"/>
        </w:numPr>
        <w:spacing w:after="80"/>
      </w:pPr>
      <w:r>
        <w:rPr>
          <w:color w:val="374151"/>
          <w:sz w:val="22"/>
          <w:szCs w:val="22"/>
          <w:rFonts w:ascii="Calibri" w:cs="Calibri" w:eastAsia="Calibri" w:hAnsi="Calibri"/>
        </w:rPr>
        <w:t xml:space="preserve">Regulamento de Execução (UE) 2024/2690 (CIR), Anexo — requisitos técnicos específicos de encriptação para transferências de dados críticos</w:t>
      </w:r>
    </w:p>
    <w:p>
      <w:pPr>
        <w:pStyle w:val="ListParagraph"/>
        <w:numPr>
          <w:ilvl w:val="0"/>
          <w:numId w:val="1"/>
        </w:numPr>
        <w:spacing w:after="80"/>
      </w:pPr>
      <w:r>
        <w:rPr>
          <w:color w:val="374151"/>
          <w:sz w:val="22"/>
          <w:szCs w:val="22"/>
          <w:rFonts w:ascii="Calibri" w:cs="Calibri" w:eastAsia="Calibri" w:hAnsi="Calibri"/>
        </w:rPr>
        <w:t xml:space="preserve">Regulamento Geral sobre a Proteção de Dados (RGPD), Art. 32.º — obrigação de encriptar dados pessoais em trânsito e de garantir a confidencialidade das transferências</w:t>
      </w:r>
    </w:p>
    <w:p>
      <w:pPr>
        <w:pStyle w:val="ListParagraph"/>
        <w:numPr>
          <w:ilvl w:val="0"/>
          <w:numId w:val="1"/>
        </w:numPr>
        <w:spacing w:after="80"/>
      </w:pPr>
      <w:r>
        <w:rPr>
          <w:color w:val="374151"/>
          <w:sz w:val="22"/>
          <w:szCs w:val="22"/>
          <w:rFonts w:ascii="Calibri" w:cs="Calibri" w:eastAsia="Calibri" w:hAnsi="Calibri"/>
        </w:rPr>
        <w:t xml:space="preserve">RGPD, Capítulo V (Arts. 44.º a 49.º) — requisitos específicos para transferências internacionais de dados pessoais</w:t>
      </w:r>
    </w:p>
    <w:p>
      <w:pPr>
        <w:pStyle w:val="ListParagraph"/>
        <w:numPr>
          <w:ilvl w:val="0"/>
          <w:numId w:val="1"/>
        </w:numPr>
        <w:spacing w:after="80"/>
      </w:pPr>
      <w:r>
        <w:rPr>
          <w:color w:val="374151"/>
          <w:sz w:val="22"/>
          <w:szCs w:val="22"/>
          <w:rFonts w:ascii="Calibri" w:cs="Calibri" w:eastAsia="Calibri" w:hAnsi="Calibri"/>
        </w:rPr>
        <w:t xml:space="preserve">ISO/IEC 27001:2022 — Controlo 5.14 (Transferência de informação) e Controlo 8.24 (Utilização de criptografia)</w:t>
      </w:r>
    </w:p>
    <w:p>
      <w:pPr>
        <w:pStyle w:val="ListParagraph"/>
        <w:numPr>
          <w:ilvl w:val="0"/>
          <w:numId w:val="1"/>
        </w:numPr>
        <w:spacing w:after="80"/>
      </w:pPr>
      <w:r>
        <w:rPr>
          <w:color w:val="374151"/>
          <w:sz w:val="22"/>
          <w:szCs w:val="22"/>
          <w:rFonts w:ascii="Calibri" w:cs="Calibri" w:eastAsia="Calibri" w:hAnsi="Calibri"/>
        </w:rPr>
        <w:t xml:space="preserve">Recomendações ENISA sobre encriptação e transferência segura de dados</w:t>
      </w:r>
    </w:p>
    <w:p>
      <w:pPr>
        <w:shd w:color="dbeafe" w:val="solid"/>
        <w:spacing w:before="160" w:after="160"/>
        <w:ind w:left="360" w:right="360"/>
      </w:pPr>
      <w:r>
        <w:rPr>
          <w:i/>
          <w:iCs/>
          <w:color w:val="1e3a8a"/>
          <w:sz w:val="22"/>
          <w:szCs w:val="22"/>
          <w:rFonts w:ascii="Calibri" w:cs="Calibri" w:eastAsia="Calibri" w:hAnsi="Calibri"/>
        </w:rPr>
        <w:t xml:space="preserve">O incumprimento dos requisitos de transferência segura de informação pode resultar em coimas até 10 000 000 EUR ou 2% do volume de negócios mundial (NIS2/DL 125/2025) e coimas até 20 000 000 EUR ou 4% do volume de negócios mundial (RGPD), aplicáveis cumulativamente.</w:t>
      </w:r>
    </w:p>
    <w:p>
      <w:r>
        <w:br w:type="page"/>
      </w:r>
    </w:p>
    <w:p>
      <w:pPr>
        <w:pStyle w:val="Heading1"/>
        <w:spacing w:before="400" w:after="200"/>
      </w:pPr>
      <w:r>
        <w:rPr>
          <w:b/>
          <w:bCs/>
          <w:color w:val="1e3a8a"/>
          <w:sz w:val="32"/>
          <w:szCs w:val="32"/>
          <w:rFonts w:ascii="Calibri" w:cs="Calibri" w:eastAsia="Calibri" w:hAnsi="Calibri"/>
        </w:rPr>
        <w:t xml:space="preserve">3. Classificação de informação e requisitos de transferência</w:t>
      </w:r>
    </w:p>
    <w:p>
      <w:pPr>
        <w:spacing w:after="160"/>
      </w:pPr>
      <w:r>
        <w:rPr>
          <w:color w:val="374151"/>
          <w:sz w:val="22"/>
          <w:szCs w:val="22"/>
          <w:rFonts w:ascii="Calibri" w:cs="Calibri" w:eastAsia="Calibri" w:hAnsi="Calibri"/>
        </w:rPr>
        <w:t xml:space="preserve">O nível de controlo exigido para uma transferência é diretamente determinado pela classificação da informação a transferir. A tabela seguinte define os níveis de classificação adotados pela organização e os requisitos mínimos de canal de transferência para cada nível.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Nível</w:t>
            </w:r>
          </w:p>
        </w:tc>
        <w:tc>
          <w:tcPr>
            <w:shd w:color="1e3a8a" w:val="solid"/>
            <w:vAlign w:val="center"/>
          </w:tcPr>
          <w:p>
            <w:r>
              <w:rPr>
                <w:b/>
                <w:bCs/>
                <w:color w:val="ffffff"/>
                <w:sz w:val="22"/>
                <w:szCs w:val="22"/>
                <w:rFonts w:ascii="Calibri" w:cs="Calibri" w:eastAsia="Calibri" w:hAnsi="Calibri"/>
              </w:rPr>
              <w:t xml:space="preserve">Descrição</w:t>
            </w:r>
          </w:p>
        </w:tc>
        <w:tc>
          <w:tcPr>
            <w:shd w:color="1e3a8a" w:val="solid"/>
            <w:vAlign w:val="center"/>
          </w:tcPr>
          <w:p>
            <w:r>
              <w:rPr>
                <w:b/>
                <w:bCs/>
                <w:color w:val="ffffff"/>
                <w:sz w:val="22"/>
                <w:szCs w:val="22"/>
                <w:rFonts w:ascii="Calibri" w:cs="Calibri" w:eastAsia="Calibri" w:hAnsi="Calibri"/>
              </w:rPr>
              <w:t xml:space="preserve">Exemplos</w:t>
            </w:r>
          </w:p>
        </w:tc>
        <w:tc>
          <w:tcPr>
            <w:shd w:color="1e3a8a" w:val="solid"/>
            <w:vAlign w:val="center"/>
          </w:tcPr>
          <w:p>
            <w:r>
              <w:rPr>
                <w:b/>
                <w:bCs/>
                <w:color w:val="ffffff"/>
                <w:sz w:val="22"/>
                <w:szCs w:val="22"/>
                <w:rFonts w:ascii="Calibri" w:cs="Calibri" w:eastAsia="Calibri" w:hAnsi="Calibri"/>
              </w:rPr>
              <w:t xml:space="preserve">Canal mínimo requerido</w:t>
            </w:r>
          </w:p>
        </w:tc>
      </w:tr>
      <w:tr>
        <w:tc>
          <w:p>
            <w:r>
              <w:rPr>
                <w:color w:val="374151"/>
                <w:sz w:val="22"/>
                <w:szCs w:val="22"/>
                <w:rFonts w:ascii="Calibri" w:cs="Calibri" w:eastAsia="Calibri" w:hAnsi="Calibri"/>
              </w:rPr>
              <w:t xml:space="preserve">Pública</w:t>
            </w:r>
          </w:p>
        </w:tc>
        <w:tc>
          <w:p>
            <w:r>
              <w:rPr>
                <w:color w:val="374151"/>
                <w:sz w:val="22"/>
                <w:szCs w:val="22"/>
                <w:rFonts w:ascii="Calibri" w:cs="Calibri" w:eastAsia="Calibri" w:hAnsi="Calibri"/>
              </w:rPr>
              <w:t xml:space="preserve">Informação para divulgação externa sem restrições</w:t>
            </w:r>
          </w:p>
        </w:tc>
        <w:tc>
          <w:p>
            <w:r>
              <w:rPr>
                <w:color w:val="374151"/>
                <w:sz w:val="22"/>
                <w:szCs w:val="22"/>
                <w:rFonts w:ascii="Calibri" w:cs="Calibri" w:eastAsia="Calibri" w:hAnsi="Calibri"/>
              </w:rPr>
              <w:t xml:space="preserve">Comunicados, website, brochuras</w:t>
            </w:r>
          </w:p>
        </w:tc>
        <w:tc>
          <w:p>
            <w:r>
              <w:rPr>
                <w:color w:val="374151"/>
                <w:sz w:val="22"/>
                <w:szCs w:val="22"/>
                <w:rFonts w:ascii="Calibri" w:cs="Calibri" w:eastAsia="Calibri" w:hAnsi="Calibri"/>
              </w:rPr>
              <w:t xml:space="preserve">Qualquer canal; integridade verificada</w:t>
            </w:r>
          </w:p>
        </w:tc>
      </w:tr>
      <w:tr>
        <w:tc>
          <w:p>
            <w:r>
              <w:rPr>
                <w:color w:val="374151"/>
                <w:sz w:val="22"/>
                <w:szCs w:val="22"/>
                <w:rFonts w:ascii="Calibri" w:cs="Calibri" w:eastAsia="Calibri" w:hAnsi="Calibri"/>
              </w:rPr>
              <w:t xml:space="preserve">Interna</w:t>
            </w:r>
          </w:p>
        </w:tc>
        <w:tc>
          <w:p>
            <w:r>
              <w:rPr>
                <w:color w:val="374151"/>
                <w:sz w:val="22"/>
                <w:szCs w:val="22"/>
                <w:rFonts w:ascii="Calibri" w:cs="Calibri" w:eastAsia="Calibri" w:hAnsi="Calibri"/>
              </w:rPr>
              <w:t xml:space="preserve">Uso interno; não destinada a divulgação externa</w:t>
            </w:r>
          </w:p>
        </w:tc>
        <w:tc>
          <w:p>
            <w:r>
              <w:rPr>
                <w:color w:val="374151"/>
                <w:sz w:val="22"/>
                <w:szCs w:val="22"/>
                <w:rFonts w:ascii="Calibri" w:cs="Calibri" w:eastAsia="Calibri" w:hAnsi="Calibri"/>
              </w:rPr>
              <w:t xml:space="preserve">Políticas, procedimentos, comunicações internas</w:t>
            </w:r>
          </w:p>
        </w:tc>
        <w:tc>
          <w:p>
            <w:r>
              <w:rPr>
                <w:color w:val="374151"/>
                <w:sz w:val="22"/>
                <w:szCs w:val="22"/>
                <w:rFonts w:ascii="Calibri" w:cs="Calibri" w:eastAsia="Calibri" w:hAnsi="Calibri"/>
              </w:rPr>
              <w:t xml:space="preserve">TLS 1.2+ para transferências digitais</w:t>
            </w:r>
          </w:p>
        </w:tc>
      </w:tr>
      <w:tr>
        <w:tc>
          <w:p>
            <w:r>
              <w:rPr>
                <w:color w:val="374151"/>
                <w:sz w:val="22"/>
                <w:szCs w:val="22"/>
                <w:rFonts w:ascii="Calibri" w:cs="Calibri" w:eastAsia="Calibri" w:hAnsi="Calibri"/>
              </w:rPr>
              <w:t xml:space="preserve">Confidencial</w:t>
            </w:r>
          </w:p>
        </w:tc>
        <w:tc>
          <w:p>
            <w:r>
              <w:rPr>
                <w:color w:val="374151"/>
                <w:sz w:val="22"/>
                <w:szCs w:val="22"/>
                <w:rFonts w:ascii="Calibri" w:cs="Calibri" w:eastAsia="Calibri" w:hAnsi="Calibri"/>
              </w:rPr>
              <w:t xml:space="preserve">Acesso restrito; impacto significativo se divulgada</w:t>
            </w:r>
          </w:p>
        </w:tc>
        <w:tc>
          <w:p>
            <w:r>
              <w:rPr>
                <w:color w:val="374151"/>
                <w:sz w:val="22"/>
                <w:szCs w:val="22"/>
                <w:rFonts w:ascii="Calibri" w:cs="Calibri" w:eastAsia="Calibri" w:hAnsi="Calibri"/>
              </w:rPr>
              <w:t xml:space="preserve">Dados de clientes, contratos, informação financeira</w:t>
            </w:r>
          </w:p>
        </w:tc>
        <w:tc>
          <w:p>
            <w:r>
              <w:rPr>
                <w:color w:val="374151"/>
                <w:sz w:val="22"/>
                <w:szCs w:val="22"/>
                <w:rFonts w:ascii="Calibri" w:cs="Calibri" w:eastAsia="Calibri" w:hAnsi="Calibri"/>
              </w:rPr>
              <w:t xml:space="preserve">Canal encriptado aprovado; acordo prévio com destinatário</w:t>
            </w:r>
          </w:p>
        </w:tc>
      </w:tr>
      <w:tr>
        <w:tc>
          <w:p>
            <w:r>
              <w:rPr>
                <w:color w:val="374151"/>
                <w:sz w:val="22"/>
                <w:szCs w:val="22"/>
                <w:rFonts w:ascii="Calibri" w:cs="Calibri" w:eastAsia="Calibri" w:hAnsi="Calibri"/>
              </w:rPr>
              <w:t xml:space="preserve">Estritamente Confidencial</w:t>
            </w:r>
          </w:p>
        </w:tc>
        <w:tc>
          <w:p>
            <w:r>
              <w:rPr>
                <w:color w:val="374151"/>
                <w:sz w:val="22"/>
                <w:szCs w:val="22"/>
                <w:rFonts w:ascii="Calibri" w:cs="Calibri" w:eastAsia="Calibri" w:hAnsi="Calibri"/>
              </w:rPr>
              <w:t xml:space="preserve">Acesso muito restrito; impacto grave se divulgada</w:t>
            </w:r>
          </w:p>
        </w:tc>
        <w:tc>
          <w:p>
            <w:r>
              <w:rPr>
                <w:color w:val="374151"/>
                <w:sz w:val="22"/>
                <w:szCs w:val="22"/>
                <w:rFonts w:ascii="Calibri" w:cs="Calibri" w:eastAsia="Calibri" w:hAnsi="Calibri"/>
              </w:rPr>
              <w:t xml:space="preserve">Segredos industriais, chaves, dados de saúde, DPA</w:t>
            </w:r>
          </w:p>
        </w:tc>
        <w:tc>
          <w:p>
            <w:r>
              <w:rPr>
                <w:color w:val="374151"/>
                <w:sz w:val="22"/>
                <w:szCs w:val="22"/>
                <w:rFonts w:ascii="Calibri" w:cs="Calibri" w:eastAsia="Calibri" w:hAnsi="Calibri"/>
              </w:rPr>
              <w:t xml:space="preserve">E2E ou suporte físico encriptado; aprovação CISO</w:t>
            </w:r>
          </w:p>
        </w:tc>
      </w:tr>
    </w:tbl>
    <w:p>
      <w:pPr>
        <w:spacing w:after="200"/>
      </w:pPr>
    </w:p>
    <w:p>
      <w:pPr>
        <w:spacing w:after="160"/>
      </w:pPr>
      <w:r>
        <w:rPr>
          <w:color w:val="374151"/>
          <w:sz w:val="22"/>
          <w:szCs w:val="22"/>
          <w:rFonts w:ascii="Calibri" w:cs="Calibri" w:eastAsia="Calibri" w:hAnsi="Calibri"/>
        </w:rPr>
        <w:t xml:space="preserve">Sempre que uma transferência contenha dados de diferentes classificações, aplica-se o nível mais elevado presente. O remetente é responsável por classificar corretamente a informação antes de iniciar qualquer transferência. Em caso de dúvida sobre a classificação adequada, o colaborador deve consultar o responsável de informação do seu departamento ou o responsável de cibersegurança.</w:t>
      </w:r>
    </w:p>
    <w:p>
      <w:pPr>
        <w:shd w:color="dbeafe" w:val="solid"/>
        <w:spacing w:before="160" w:after="160"/>
        <w:ind w:left="360" w:right="360"/>
      </w:pPr>
      <w:r>
        <w:rPr>
          <w:i/>
          <w:iCs/>
          <w:color w:val="1e3a8a"/>
          <w:sz w:val="22"/>
          <w:szCs w:val="22"/>
          <w:rFonts w:ascii="Calibri" w:cs="Calibri" w:eastAsia="Calibri" w:hAnsi="Calibri"/>
        </w:rPr>
        <w:t xml:space="preserve">Art. 26.º do DL 125/2025 — a classificação de informação e a adoção de controlos de transferência proporcionais ao nível de sensibilidade são práticas essenciais para a gestão do risco de transferência de dados.</w:t>
      </w:r>
    </w:p>
    <w:p>
      <w:r>
        <w:br w:type="page"/>
      </w:r>
    </w:p>
    <w:p>
      <w:pPr>
        <w:pStyle w:val="Heading1"/>
        <w:spacing w:before="400" w:after="200"/>
      </w:pPr>
      <w:r>
        <w:rPr>
          <w:b/>
          <w:bCs/>
          <w:color w:val="1e3a8a"/>
          <w:sz w:val="32"/>
          <w:szCs w:val="32"/>
          <w:rFonts w:ascii="Calibri" w:cs="Calibri" w:eastAsia="Calibri" w:hAnsi="Calibri"/>
        </w:rPr>
        <w:t xml:space="preserve">4. Canais de transferência aprovados</w:t>
      </w:r>
    </w:p>
    <w:p>
      <w:pPr>
        <w:spacing w:after="160"/>
      </w:pPr>
      <w:r>
        <w:rPr>
          <w:color w:val="374151"/>
          <w:sz w:val="22"/>
          <w:szCs w:val="22"/>
          <w:rFonts w:ascii="Calibri" w:cs="Calibri" w:eastAsia="Calibri" w:hAnsi="Calibri"/>
        </w:rPr>
        <w:t xml:space="preserve">A organização aprova os seguintes canais de transferência de informação, com os respetivos requisitos técnicos e âmbito de utilização. A utilização de canais não listados nesta tabela é proibida sem aprovação prévia do responsável de cibersegurança.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Canal</w:t>
            </w:r>
          </w:p>
        </w:tc>
        <w:tc>
          <w:tcPr>
            <w:shd w:color="1e3a8a" w:val="solid"/>
            <w:vAlign w:val="center"/>
          </w:tcPr>
          <w:p>
            <w:r>
              <w:rPr>
                <w:b/>
                <w:bCs/>
                <w:color w:val="ffffff"/>
                <w:sz w:val="22"/>
                <w:szCs w:val="22"/>
                <w:rFonts w:ascii="Calibri" w:cs="Calibri" w:eastAsia="Calibri" w:hAnsi="Calibri"/>
              </w:rPr>
              <w:t xml:space="preserve">Classificação suportada</w:t>
            </w:r>
          </w:p>
        </w:tc>
        <w:tc>
          <w:tcPr>
            <w:shd w:color="1e3a8a" w:val="solid"/>
            <w:vAlign w:val="center"/>
          </w:tcPr>
          <w:p>
            <w:r>
              <w:rPr>
                <w:b/>
                <w:bCs/>
                <w:color w:val="ffffff"/>
                <w:sz w:val="22"/>
                <w:szCs w:val="22"/>
                <w:rFonts w:ascii="Calibri" w:cs="Calibri" w:eastAsia="Calibri" w:hAnsi="Calibri"/>
              </w:rPr>
              <w:t xml:space="preserve">Requisitos mínimos</w:t>
            </w:r>
          </w:p>
        </w:tc>
        <w:tc>
          <w:tcPr>
            <w:shd w:color="1e3a8a" w:val="solid"/>
            <w:vAlign w:val="center"/>
          </w:tcPr>
          <w:p>
            <w:r>
              <w:rPr>
                <w:b/>
                <w:bCs/>
                <w:color w:val="ffffff"/>
                <w:sz w:val="22"/>
                <w:szCs w:val="22"/>
                <w:rFonts w:ascii="Calibri" w:cs="Calibri" w:eastAsia="Calibri" w:hAnsi="Calibri"/>
              </w:rPr>
              <w:t xml:space="preserve">Uso externo</w:t>
            </w:r>
          </w:p>
        </w:tc>
      </w:tr>
      <w:tr>
        <w:tc>
          <w:p>
            <w:r>
              <w:rPr>
                <w:color w:val="374151"/>
                <w:sz w:val="22"/>
                <w:szCs w:val="22"/>
                <w:rFonts w:ascii="Calibri" w:cs="Calibri" w:eastAsia="Calibri" w:hAnsi="Calibri"/>
              </w:rPr>
              <w:t xml:space="preserve">SFTP (SSH File Transfer Protocol)</w:t>
            </w:r>
          </w:p>
        </w:tc>
        <w:tc>
          <w:p>
            <w:r>
              <w:rPr>
                <w:color w:val="374151"/>
                <w:sz w:val="22"/>
                <w:szCs w:val="22"/>
                <w:rFonts w:ascii="Calibri" w:cs="Calibri" w:eastAsia="Calibri" w:hAnsi="Calibri"/>
              </w:rPr>
              <w:t xml:space="preserve">Interna, Confidencial, Estritamente Confidencial</w:t>
            </w:r>
          </w:p>
        </w:tc>
        <w:tc>
          <w:p>
            <w:r>
              <w:rPr>
                <w:color w:val="374151"/>
                <w:sz w:val="22"/>
                <w:szCs w:val="22"/>
                <w:rFonts w:ascii="Calibri" w:cs="Calibri" w:eastAsia="Calibri" w:hAnsi="Calibri"/>
              </w:rPr>
              <w:t xml:space="preserve">SSH-2; chave RSA 4096 bit ou ECDSA; autenticação por chave pública</w:t>
            </w:r>
          </w:p>
        </w:tc>
        <w:tc>
          <w:p>
            <w:r>
              <w:rPr>
                <w:color w:val="374151"/>
                <w:sz w:val="22"/>
                <w:szCs w:val="22"/>
                <w:rFonts w:ascii="Calibri" w:cs="Calibri" w:eastAsia="Calibri" w:hAnsi="Calibri"/>
              </w:rPr>
              <w:t xml:space="preserve">Sim, com acordo prévio</w:t>
            </w:r>
          </w:p>
        </w:tc>
      </w:tr>
      <w:tr>
        <w:tc>
          <w:p>
            <w:r>
              <w:rPr>
                <w:color w:val="374151"/>
                <w:sz w:val="22"/>
                <w:szCs w:val="22"/>
                <w:rFonts w:ascii="Calibri" w:cs="Calibri" w:eastAsia="Calibri" w:hAnsi="Calibri"/>
              </w:rPr>
              <w:t xml:space="preserve">HTTPS / API REST segura</w:t>
            </w:r>
          </w:p>
        </w:tc>
        <w:tc>
          <w:p>
            <w:r>
              <w:rPr>
                <w:color w:val="374151"/>
                <w:sz w:val="22"/>
                <w:szCs w:val="22"/>
                <w:rFonts w:ascii="Calibri" w:cs="Calibri" w:eastAsia="Calibri" w:hAnsi="Calibri"/>
              </w:rPr>
              <w:t xml:space="preserve">Interna, Confidencial</w:t>
            </w:r>
          </w:p>
        </w:tc>
        <w:tc>
          <w:p>
            <w:r>
              <w:rPr>
                <w:color w:val="374151"/>
                <w:sz w:val="22"/>
                <w:szCs w:val="22"/>
                <w:rFonts w:ascii="Calibri" w:cs="Calibri" w:eastAsia="Calibri" w:hAnsi="Calibri"/>
              </w:rPr>
              <w:t xml:space="preserve">TLS 1.2 mínimo; certificado válido; autenticação da aplicação</w:t>
            </w:r>
          </w:p>
        </w:tc>
        <w:tc>
          <w:p>
            <w:r>
              <w:rPr>
                <w:color w:val="374151"/>
                <w:sz w:val="22"/>
                <w:szCs w:val="22"/>
                <w:rFonts w:ascii="Calibri" w:cs="Calibri" w:eastAsia="Calibri" w:hAnsi="Calibri"/>
              </w:rPr>
              <w:t xml:space="preserve">Sim, com token ou certificado</w:t>
            </w:r>
          </w:p>
        </w:tc>
      </w:tr>
      <w:tr>
        <w:tc>
          <w:p>
            <w:r>
              <w:rPr>
                <w:color w:val="374151"/>
                <w:sz w:val="22"/>
                <w:szCs w:val="22"/>
                <w:rFonts w:ascii="Calibri" w:cs="Calibri" w:eastAsia="Calibri" w:hAnsi="Calibri"/>
              </w:rPr>
              <w:t xml:space="preserve">Email encriptado (S/MIME / PGP)</w:t>
            </w:r>
          </w:p>
        </w:tc>
        <w:tc>
          <w:p>
            <w:r>
              <w:rPr>
                <w:color w:val="374151"/>
                <w:sz w:val="22"/>
                <w:szCs w:val="22"/>
                <w:rFonts w:ascii="Calibri" w:cs="Calibri" w:eastAsia="Calibri" w:hAnsi="Calibri"/>
              </w:rPr>
              <w:t xml:space="preserve">Confidencial, Estritamente Confidencial</w:t>
            </w:r>
          </w:p>
        </w:tc>
        <w:tc>
          <w:p>
            <w:r>
              <w:rPr>
                <w:color w:val="374151"/>
                <w:sz w:val="22"/>
                <w:szCs w:val="22"/>
                <w:rFonts w:ascii="Calibri" w:cs="Calibri" w:eastAsia="Calibri" w:hAnsi="Calibri"/>
              </w:rPr>
              <w:t xml:space="preserve">Certificado válido do destinatário; encriptação do corpo e anexos</w:t>
            </w:r>
          </w:p>
        </w:tc>
        <w:tc>
          <w:p>
            <w:r>
              <w:rPr>
                <w:color w:val="374151"/>
                <w:sz w:val="22"/>
                <w:szCs w:val="22"/>
                <w:rFonts w:ascii="Calibri" w:cs="Calibri" w:eastAsia="Calibri" w:hAnsi="Calibri"/>
              </w:rPr>
              <w:t xml:space="preserve">Sim, destinatário com certificado</w:t>
            </w:r>
          </w:p>
        </w:tc>
      </w:tr>
      <w:tr>
        <w:tc>
          <w:p>
            <w:r>
              <w:rPr>
                <w:color w:val="374151"/>
                <w:sz w:val="22"/>
                <w:szCs w:val="22"/>
                <w:rFonts w:ascii="Calibri" w:cs="Calibri" w:eastAsia="Calibri" w:hAnsi="Calibri"/>
              </w:rPr>
              <w:t xml:space="preserve">Portal seguro de partilha (SharePoint / FTPS)</w:t>
            </w:r>
          </w:p>
        </w:tc>
        <w:tc>
          <w:p>
            <w:r>
              <w:rPr>
                <w:color w:val="374151"/>
                <w:sz w:val="22"/>
                <w:szCs w:val="22"/>
                <w:rFonts w:ascii="Calibri" w:cs="Calibri" w:eastAsia="Calibri" w:hAnsi="Calibri"/>
              </w:rPr>
              <w:t xml:space="preserve">Interna, Confidencial</w:t>
            </w:r>
          </w:p>
        </w:tc>
        <w:tc>
          <w:p>
            <w:r>
              <w:rPr>
                <w:color w:val="374151"/>
                <w:sz w:val="22"/>
                <w:szCs w:val="22"/>
                <w:rFonts w:ascii="Calibri" w:cs="Calibri" w:eastAsia="Calibri" w:hAnsi="Calibri"/>
              </w:rPr>
              <w:t xml:space="preserve">TLS 1.2+; autenticação SSO com MFA; expiração de links</w:t>
            </w:r>
          </w:p>
        </w:tc>
        <w:tc>
          <w:p>
            <w:r>
              <w:rPr>
                <w:color w:val="374151"/>
                <w:sz w:val="22"/>
                <w:szCs w:val="22"/>
                <w:rFonts w:ascii="Calibri" w:cs="Calibri" w:eastAsia="Calibri" w:hAnsi="Calibri"/>
              </w:rPr>
              <w:t xml:space="preserve">Sim, links temporários com expiração</w:t>
            </w:r>
          </w:p>
        </w:tc>
      </w:tr>
      <w:tr>
        <w:tc>
          <w:p>
            <w:r>
              <w:rPr>
                <w:color w:val="374151"/>
                <w:sz w:val="22"/>
                <w:szCs w:val="22"/>
                <w:rFonts w:ascii="Calibri" w:cs="Calibri" w:eastAsia="Calibri" w:hAnsi="Calibri"/>
              </w:rPr>
              <w:t xml:space="preserve">Suporte físico encriptado (pen USB / disco externo)</w:t>
            </w:r>
          </w:p>
        </w:tc>
        <w:tc>
          <w:p>
            <w:r>
              <w:rPr>
                <w:color w:val="374151"/>
                <w:sz w:val="22"/>
                <w:szCs w:val="22"/>
                <w:rFonts w:ascii="Calibri" w:cs="Calibri" w:eastAsia="Calibri" w:hAnsi="Calibri"/>
              </w:rPr>
              <w:t xml:space="preserve">Confidencial, Estritamente Confidencial</w:t>
            </w:r>
          </w:p>
        </w:tc>
        <w:tc>
          <w:p>
            <w:r>
              <w:rPr>
                <w:color w:val="374151"/>
                <w:sz w:val="22"/>
                <w:szCs w:val="22"/>
                <w:rFonts w:ascii="Calibri" w:cs="Calibri" w:eastAsia="Calibri" w:hAnsi="Calibri"/>
              </w:rPr>
              <w:t xml:space="preserve">Encriptação AES-256; PIN ou palavra-passe; bloqueio após tentativas falhadas</w:t>
            </w:r>
          </w:p>
        </w:tc>
        <w:tc>
          <w:p>
            <w:r>
              <w:rPr>
                <w:color w:val="374151"/>
                <w:sz w:val="22"/>
                <w:szCs w:val="22"/>
                <w:rFonts w:ascii="Calibri" w:cs="Calibri" w:eastAsia="Calibri" w:hAnsi="Calibri"/>
              </w:rPr>
              <w:t xml:space="preserve">Com aprovação e acordo de receção</w:t>
            </w:r>
          </w:p>
        </w:tc>
      </w:tr>
      <w:tr>
        <w:tc>
          <w:p>
            <w:r>
              <w:rPr>
                <w:color w:val="374151"/>
                <w:sz w:val="22"/>
                <w:szCs w:val="22"/>
                <w:rFonts w:ascii="Calibri" w:cs="Calibri" w:eastAsia="Calibri" w:hAnsi="Calibri"/>
              </w:rPr>
              <w:t xml:space="preserve">AS2 / EDI seguro</w:t>
            </w:r>
          </w:p>
        </w:tc>
        <w:tc>
          <w:p>
            <w:r>
              <w:rPr>
                <w:color w:val="374151"/>
                <w:sz w:val="22"/>
                <w:szCs w:val="22"/>
                <w:rFonts w:ascii="Calibri" w:cs="Calibri" w:eastAsia="Calibri" w:hAnsi="Calibri"/>
              </w:rPr>
              <w:t xml:space="preserve">Interna, Confidencial</w:t>
            </w:r>
          </w:p>
        </w:tc>
        <w:tc>
          <w:p>
            <w:r>
              <w:rPr>
                <w:color w:val="374151"/>
                <w:sz w:val="22"/>
                <w:szCs w:val="22"/>
                <w:rFonts w:ascii="Calibri" w:cs="Calibri" w:eastAsia="Calibri" w:hAnsi="Calibri"/>
              </w:rPr>
              <w:t xml:space="preserve">TLS 1.2+; assinatura digital de mensagens; certificados trocados</w:t>
            </w:r>
          </w:p>
        </w:tc>
        <w:tc>
          <w:p>
            <w:r>
              <w:rPr>
                <w:color w:val="374151"/>
                <w:sz w:val="22"/>
                <w:szCs w:val="22"/>
                <w:rFonts w:ascii="Calibri" w:cs="Calibri" w:eastAsia="Calibri" w:hAnsi="Calibri"/>
              </w:rPr>
              <w:t xml:space="preserve">Sim, parceiros EDI homologados</w:t>
            </w:r>
          </w:p>
        </w:tc>
      </w:tr>
      <w:tr>
        <w:tc>
          <w:p>
            <w:r>
              <w:rPr>
                <w:color w:val="374151"/>
                <w:sz w:val="22"/>
                <w:szCs w:val="22"/>
                <w:rFonts w:ascii="Calibri" w:cs="Calibri" w:eastAsia="Calibri" w:hAnsi="Calibri"/>
              </w:rPr>
              <w:t xml:space="preserve">Email não encriptado (SMTP standard)</w:t>
            </w:r>
          </w:p>
        </w:tc>
        <w:tc>
          <w:p>
            <w:r>
              <w:rPr>
                <w:color w:val="374151"/>
                <w:sz w:val="22"/>
                <w:szCs w:val="22"/>
                <w:rFonts w:ascii="Calibri" w:cs="Calibri" w:eastAsia="Calibri" w:hAnsi="Calibri"/>
              </w:rPr>
              <w:t xml:space="preserve">Pública</w:t>
            </w:r>
          </w:p>
        </w:tc>
        <w:tc>
          <w:p>
            <w:r>
              <w:rPr>
                <w:color w:val="374151"/>
                <w:sz w:val="22"/>
                <w:szCs w:val="22"/>
                <w:rFonts w:ascii="Calibri" w:cs="Calibri" w:eastAsia="Calibri" w:hAnsi="Calibri"/>
              </w:rPr>
              <w:t xml:space="preserve">Apenas para informação não sensível ou pública</w:t>
            </w:r>
          </w:p>
        </w:tc>
        <w:tc>
          <w:p>
            <w:r>
              <w:rPr>
                <w:color w:val="374151"/>
                <w:sz w:val="22"/>
                <w:szCs w:val="22"/>
                <w:rFonts w:ascii="Calibri" w:cs="Calibri" w:eastAsia="Calibri" w:hAnsi="Calibri"/>
              </w:rPr>
              <w:t xml:space="preserve">Sim, conteúdo público apenas</w:t>
            </w:r>
          </w:p>
        </w:tc>
      </w:tr>
    </w:tbl>
    <w:p>
      <w:pPr>
        <w:spacing w:after="200"/>
      </w:pPr>
    </w:p>
    <w:p>
      <w:pPr>
        <w:spacing w:after="160"/>
      </w:pPr>
      <w:r>
        <w:rPr>
          <w:color w:val="374151"/>
          <w:sz w:val="22"/>
          <w:szCs w:val="22"/>
          <w:rFonts w:ascii="Calibri" w:cs="Calibri" w:eastAsia="Calibri" w:hAnsi="Calibri"/>
        </w:rPr>
        <w:t xml:space="preserve">A utilização de serviços de transferência pessoais ou não corporativos — como WeTransfer, Dropbox pessoal, Google Drive pessoal ou email pessoal — para transferência de informação classificada é estritamente proibida. A deteção de transferências através de canais não aprovados é tratada como incidente de segurança.</w:t>
      </w:r>
    </w:p>
    <w:p>
      <w:pPr>
        <w:shd w:color="dbeafe" w:val="solid"/>
        <w:spacing w:before="160" w:after="160"/>
        <w:ind w:left="360" w:right="360"/>
      </w:pPr>
      <w:r>
        <w:rPr>
          <w:i/>
          <w:iCs/>
          <w:color w:val="1e3a8a"/>
          <w:sz w:val="22"/>
          <w:szCs w:val="22"/>
          <w:rFonts w:ascii="Calibri" w:cs="Calibri" w:eastAsia="Calibri" w:hAnsi="Calibri"/>
        </w:rPr>
        <w:t xml:space="preserve">CIR 2024/2690, Anexo — a utilização de canais de transferência seguros e aprovados, com encriptação adequada ao nível de sensibilidade dos dados, é um requisito explícito para entidades prestadoras de serviços digitais críticos.</w:t>
      </w:r>
    </w:p>
    <w:p>
      <w:r>
        <w:br w:type="page"/>
      </w:r>
    </w:p>
    <w:p>
      <w:pPr>
        <w:pStyle w:val="Heading1"/>
        <w:spacing w:before="400" w:after="200"/>
      </w:pPr>
      <w:r>
        <w:rPr>
          <w:b/>
          <w:bCs/>
          <w:color w:val="1e3a8a"/>
          <w:sz w:val="32"/>
          <w:szCs w:val="32"/>
          <w:rFonts w:ascii="Calibri" w:cs="Calibri" w:eastAsia="Calibri" w:hAnsi="Calibri"/>
        </w:rPr>
        <w:t xml:space="preserve">5. Encriptação em trânsito</w:t>
      </w:r>
    </w:p>
    <w:p>
      <w:pPr>
        <w:spacing w:after="160"/>
      </w:pPr>
      <w:r>
        <w:rPr>
          <w:color w:val="374151"/>
          <w:sz w:val="22"/>
          <w:szCs w:val="22"/>
          <w:rFonts w:ascii="Calibri" w:cs="Calibri" w:eastAsia="Calibri" w:hAnsi="Calibri"/>
        </w:rPr>
        <w:t xml:space="preserve">A encriptação de dados em trânsito garante que, mesmo que uma comunicação seja intercetada, o seu conteúdo permanece inacessível a terceiros não autorizados. A organização define requisitos mínimos de protocolos e algoritmos de encriptação para todas as transferências de dados classificados.</w:t>
      </w:r>
    </w:p>
    <w:p>
      <w:pPr>
        <w:pStyle w:val="Heading2"/>
        <w:spacing w:before="320" w:after="160"/>
      </w:pPr>
      <w:r>
        <w:rPr>
          <w:b/>
          <w:bCs/>
          <w:color w:val="1e3a8a"/>
          <w:sz w:val="28"/>
          <w:szCs w:val="28"/>
          <w:rFonts w:ascii="Calibri" w:cs="Calibri" w:eastAsia="Calibri" w:hAnsi="Calibri"/>
        </w:rPr>
        <w:t xml:space="preserve">5.1. Protocolos mínimos aprovados</w:t>
      </w:r>
    </w:p>
    <w:p>
      <w:pPr>
        <w:pStyle w:val="ListParagraph"/>
        <w:numPr>
          <w:ilvl w:val="0"/>
          <w:numId w:val="1"/>
        </w:numPr>
        <w:spacing w:after="80"/>
      </w:pPr>
      <w:r>
        <w:rPr>
          <w:color w:val="374151"/>
          <w:sz w:val="22"/>
          <w:szCs w:val="22"/>
          <w:rFonts w:ascii="Calibri" w:cs="Calibri" w:eastAsia="Calibri" w:hAnsi="Calibri"/>
        </w:rPr>
        <w:t xml:space="preserve">TLS 1.2 como versão mínima para todas as transferências web e API; TLS 1.3 preferido para novas implementações</w:t>
      </w:r>
    </w:p>
    <w:p>
      <w:pPr>
        <w:pStyle w:val="ListParagraph"/>
        <w:numPr>
          <w:ilvl w:val="0"/>
          <w:numId w:val="1"/>
        </w:numPr>
        <w:spacing w:after="80"/>
      </w:pPr>
      <w:r>
        <w:rPr>
          <w:color w:val="374151"/>
          <w:sz w:val="22"/>
          <w:szCs w:val="22"/>
          <w:rFonts w:ascii="Calibri" w:cs="Calibri" w:eastAsia="Calibri" w:hAnsi="Calibri"/>
        </w:rPr>
        <w:t xml:space="preserve">TLS 1.0 e TLS 1.1 explicitamente desativados em todos os sistemas da organização</w:t>
      </w:r>
    </w:p>
    <w:p>
      <w:pPr>
        <w:pStyle w:val="ListParagraph"/>
        <w:numPr>
          <w:ilvl w:val="0"/>
          <w:numId w:val="1"/>
        </w:numPr>
        <w:spacing w:after="80"/>
      </w:pPr>
      <w:r>
        <w:rPr>
          <w:color w:val="374151"/>
          <w:sz w:val="22"/>
          <w:szCs w:val="22"/>
          <w:rFonts w:ascii="Calibri" w:cs="Calibri" w:eastAsia="Calibri" w:hAnsi="Calibri"/>
        </w:rPr>
        <w:t xml:space="preserve">SSH versão 2 para SFTP e acessos remotos a servidores; SSH v1 proibido</w:t>
      </w:r>
    </w:p>
    <w:p>
      <w:pPr>
        <w:pStyle w:val="ListParagraph"/>
        <w:numPr>
          <w:ilvl w:val="0"/>
          <w:numId w:val="1"/>
        </w:numPr>
        <w:spacing w:after="80"/>
      </w:pPr>
      <w:r>
        <w:rPr>
          <w:color w:val="374151"/>
          <w:sz w:val="22"/>
          <w:szCs w:val="22"/>
          <w:rFonts w:ascii="Calibri" w:cs="Calibri" w:eastAsia="Calibri" w:hAnsi="Calibri"/>
        </w:rPr>
        <w:t xml:space="preserve">IPSec com IKEv2 para tunelamentos e VPN; IKEv1 desaconselhado</w:t>
      </w:r>
    </w:p>
    <w:p>
      <w:pPr>
        <w:pStyle w:val="ListParagraph"/>
        <w:numPr>
          <w:ilvl w:val="0"/>
          <w:numId w:val="1"/>
        </w:numPr>
        <w:spacing w:after="80"/>
      </w:pPr>
      <w:r>
        <w:rPr>
          <w:color w:val="374151"/>
          <w:sz w:val="22"/>
          <w:szCs w:val="22"/>
          <w:rFonts w:ascii="Calibri" w:cs="Calibri" w:eastAsia="Calibri" w:hAnsi="Calibri"/>
        </w:rPr>
        <w:t xml:space="preserve">FTPS (FTP sobre TLS) como alternativa ao SFTP quando este não é tecnicamente possível; FTP em clear text proibido</w:t>
      </w:r>
    </w:p>
    <w:p>
      <w:pPr>
        <w:pStyle w:val="ListParagraph"/>
        <w:numPr>
          <w:ilvl w:val="0"/>
          <w:numId w:val="1"/>
        </w:numPr>
        <w:spacing w:after="80"/>
      </w:pPr>
      <w:r>
        <w:rPr>
          <w:color w:val="374151"/>
          <w:sz w:val="22"/>
          <w:szCs w:val="22"/>
          <w:rFonts w:ascii="Calibri" w:cs="Calibri" w:eastAsia="Calibri" w:hAnsi="Calibri"/>
        </w:rPr>
        <w:t xml:space="preserve">SMTPS e STARTTLS com verificação de certificado para transferências de email corporativo</w:t>
      </w:r>
    </w:p>
    <w:p>
      <w:pPr>
        <w:pStyle w:val="Heading2"/>
        <w:spacing w:before="320" w:after="160"/>
      </w:pPr>
      <w:r>
        <w:rPr>
          <w:b/>
          <w:bCs/>
          <w:color w:val="1e3a8a"/>
          <w:sz w:val="28"/>
          <w:szCs w:val="28"/>
          <w:rFonts w:ascii="Calibri" w:cs="Calibri" w:eastAsia="Calibri" w:hAnsi="Calibri"/>
        </w:rPr>
        <w:t xml:space="preserve">5.2. Algoritmos e comprimentos de chave aprovados</w:t>
      </w:r>
    </w:p>
    <w:p>
      <w:pPr>
        <w:pStyle w:val="ListParagraph"/>
        <w:numPr>
          <w:ilvl w:val="0"/>
          <w:numId w:val="1"/>
        </w:numPr>
        <w:spacing w:after="80"/>
      </w:pPr>
      <w:r>
        <w:rPr>
          <w:color w:val="374151"/>
          <w:sz w:val="22"/>
          <w:szCs w:val="22"/>
          <w:rFonts w:ascii="Calibri" w:cs="Calibri" w:eastAsia="Calibri" w:hAnsi="Calibri"/>
        </w:rPr>
        <w:t xml:space="preserve">Encriptação simétrica: AES-256-GCM ou AES-128-GCM; 3DES e RC4 proibidos</w:t>
      </w:r>
    </w:p>
    <w:p>
      <w:pPr>
        <w:pStyle w:val="ListParagraph"/>
        <w:numPr>
          <w:ilvl w:val="0"/>
          <w:numId w:val="1"/>
        </w:numPr>
        <w:spacing w:after="80"/>
      </w:pPr>
      <w:r>
        <w:rPr>
          <w:color w:val="374151"/>
          <w:sz w:val="22"/>
          <w:szCs w:val="22"/>
          <w:rFonts w:ascii="Calibri" w:cs="Calibri" w:eastAsia="Calibri" w:hAnsi="Calibri"/>
        </w:rPr>
        <w:t xml:space="preserve">Encriptação assimétrica: RSA com 3072 bits mínimo; ECDSA com P-256 ou P-384; RSA-1024 e RSA-2048 em desuso</w:t>
      </w:r>
    </w:p>
    <w:p>
      <w:pPr>
        <w:pStyle w:val="ListParagraph"/>
        <w:numPr>
          <w:ilvl w:val="0"/>
          <w:numId w:val="1"/>
        </w:numPr>
        <w:spacing w:after="80"/>
      </w:pPr>
      <w:r>
        <w:rPr>
          <w:color w:val="374151"/>
          <w:sz w:val="22"/>
          <w:szCs w:val="22"/>
          <w:rFonts w:ascii="Calibri" w:cs="Calibri" w:eastAsia="Calibri" w:hAnsi="Calibri"/>
        </w:rPr>
        <w:t xml:space="preserve">Funções de hash: SHA-256 mínimo; SHA-512 para operações críticas; MD5 e SHA-1 proibidos para assinaturas</w:t>
      </w:r>
    </w:p>
    <w:p>
      <w:pPr>
        <w:pStyle w:val="ListParagraph"/>
        <w:numPr>
          <w:ilvl w:val="0"/>
          <w:numId w:val="1"/>
        </w:numPr>
        <w:spacing w:after="80"/>
      </w:pPr>
      <w:r>
        <w:rPr>
          <w:color w:val="374151"/>
          <w:sz w:val="22"/>
          <w:szCs w:val="22"/>
          <w:rFonts w:ascii="Calibri" w:cs="Calibri" w:eastAsia="Calibri" w:hAnsi="Calibri"/>
        </w:rPr>
        <w:t xml:space="preserve">Troca de chaves: ECDH com P-256 ou P-384; DHE com 3072 bits mínimo; Perfect Forward Secrecy (PFS) obrigatório</w:t>
      </w:r>
    </w:p>
    <w:p>
      <w:pPr>
        <w:pStyle w:val="Heading2"/>
        <w:spacing w:before="320" w:after="160"/>
      </w:pPr>
      <w:r>
        <w:rPr>
          <w:b/>
          <w:bCs/>
          <w:color w:val="1e3a8a"/>
          <w:sz w:val="28"/>
          <w:szCs w:val="28"/>
          <w:rFonts w:ascii="Calibri" w:cs="Calibri" w:eastAsia="Calibri" w:hAnsi="Calibri"/>
        </w:rPr>
        <w:t xml:space="preserve">5.3. Gestão de certificados</w:t>
      </w:r>
    </w:p>
    <w:p>
      <w:pPr>
        <w:pStyle w:val="ListParagraph"/>
        <w:numPr>
          <w:ilvl w:val="0"/>
          <w:numId w:val="1"/>
        </w:numPr>
        <w:spacing w:after="80"/>
      </w:pPr>
      <w:r>
        <w:rPr>
          <w:color w:val="374151"/>
          <w:sz w:val="22"/>
          <w:szCs w:val="22"/>
          <w:rFonts w:ascii="Calibri" w:cs="Calibri" w:eastAsia="Calibri" w:hAnsi="Calibri"/>
        </w:rPr>
        <w:t xml:space="preserve">Certificados emitidos por Autoridade de Certificação (CA) reconhecida ou PKI interna da organização</w:t>
      </w:r>
    </w:p>
    <w:p>
      <w:pPr>
        <w:pStyle w:val="ListParagraph"/>
        <w:numPr>
          <w:ilvl w:val="0"/>
          <w:numId w:val="1"/>
        </w:numPr>
        <w:spacing w:after="80"/>
      </w:pPr>
      <w:r>
        <w:rPr>
          <w:color w:val="374151"/>
          <w:sz w:val="22"/>
          <w:szCs w:val="22"/>
          <w:rFonts w:ascii="Calibri" w:cs="Calibri" w:eastAsia="Calibri" w:hAnsi="Calibri"/>
        </w:rPr>
        <w:t xml:space="preserve">Validade máxima de certificados TLS externos: 1 ano (conforme limite do CA/Browser Forum)</w:t>
      </w:r>
    </w:p>
    <w:p>
      <w:pPr>
        <w:pStyle w:val="ListParagraph"/>
        <w:numPr>
          <w:ilvl w:val="0"/>
          <w:numId w:val="1"/>
        </w:numPr>
        <w:spacing w:after="80"/>
      </w:pPr>
      <w:r>
        <w:rPr>
          <w:color w:val="374151"/>
          <w:sz w:val="22"/>
          <w:szCs w:val="22"/>
          <w:rFonts w:ascii="Calibri" w:cs="Calibri" w:eastAsia="Calibri" w:hAnsi="Calibri"/>
        </w:rPr>
        <w:t xml:space="preserve">Validade máxima de certificados internos: 2 anos com renovação monitorizada e automatizada</w:t>
      </w:r>
    </w:p>
    <w:p>
      <w:pPr>
        <w:pStyle w:val="ListParagraph"/>
        <w:numPr>
          <w:ilvl w:val="0"/>
          <w:numId w:val="1"/>
        </w:numPr>
        <w:spacing w:after="80"/>
      </w:pPr>
      <w:r>
        <w:rPr>
          <w:color w:val="374151"/>
          <w:sz w:val="22"/>
          <w:szCs w:val="22"/>
          <w:rFonts w:ascii="Calibri" w:cs="Calibri" w:eastAsia="Calibri" w:hAnsi="Calibri"/>
        </w:rPr>
        <w:t xml:space="preserve">Revogação imediata de certificados comprometidos com atualização de CRL/OCSP</w:t>
      </w:r>
    </w:p>
    <w:p>
      <w:pPr>
        <w:pStyle w:val="ListParagraph"/>
        <w:numPr>
          <w:ilvl w:val="0"/>
          <w:numId w:val="1"/>
        </w:numPr>
        <w:spacing w:after="80"/>
      </w:pPr>
      <w:r>
        <w:rPr>
          <w:color w:val="374151"/>
          <w:sz w:val="22"/>
          <w:szCs w:val="22"/>
          <w:rFonts w:ascii="Calibri" w:cs="Calibri" w:eastAsia="Calibri" w:hAnsi="Calibri"/>
        </w:rPr>
        <w:t xml:space="preserve">Inventário centralizado de todos os certificados com proprietário, sistema, data de emissão e expiração</w:t>
      </w:r>
    </w:p>
    <w:p>
      <w:pPr>
        <w:pStyle w:val="ListParagraph"/>
        <w:numPr>
          <w:ilvl w:val="0"/>
          <w:numId w:val="1"/>
        </w:numPr>
        <w:spacing w:after="80"/>
      </w:pPr>
      <w:r>
        <w:rPr>
          <w:color w:val="374151"/>
          <w:sz w:val="22"/>
          <w:szCs w:val="22"/>
          <w:rFonts w:ascii="Calibri" w:cs="Calibri" w:eastAsia="Calibri" w:hAnsi="Calibri"/>
        </w:rPr>
        <w:t xml:space="preserve">Alertas automáticos 60 dias antes da expiração de certificados críticos</w:t>
      </w:r>
    </w:p>
    <w:p>
      <w:pPr>
        <w:shd w:color="dbeafe" w:val="solid"/>
        <w:spacing w:before="160" w:after="160"/>
        <w:ind w:left="360" w:right="360"/>
      </w:pPr>
      <w:r>
        <w:rPr>
          <w:i/>
          <w:iCs/>
          <w:color w:val="1e3a8a"/>
          <w:sz w:val="22"/>
          <w:szCs w:val="22"/>
          <w:rFonts w:ascii="Calibri" w:cs="Calibri" w:eastAsia="Calibri" w:hAnsi="Calibri"/>
        </w:rPr>
        <w:t xml:space="preserve">Art. 26.º do DL 125/2025 e CIR 2024/2690, Anexo — a encriptação de dados em trânsito com algoritmos e protocolos robustos é uma medida obrigatória de gestão do risco de cibersegurança. O CNCS publicou recomendações técnicas alinhadas com as normas ENISA sobre algoritmos aprovados.</w:t>
      </w:r>
    </w:p>
    <w:p>
      <w:r>
        <w:br w:type="page"/>
      </w:r>
    </w:p>
    <w:p>
      <w:pPr>
        <w:pStyle w:val="Heading1"/>
        <w:spacing w:before="400" w:after="200"/>
      </w:pPr>
      <w:r>
        <w:rPr>
          <w:b/>
          <w:bCs/>
          <w:color w:val="1e3a8a"/>
          <w:sz w:val="32"/>
          <w:szCs w:val="32"/>
          <w:rFonts w:ascii="Calibri" w:cs="Calibri" w:eastAsia="Calibri" w:hAnsi="Calibri"/>
        </w:rPr>
        <w:t xml:space="preserve">6. Encriptação de suportes físicos de armazenamento</w:t>
      </w:r>
    </w:p>
    <w:p>
      <w:pPr>
        <w:spacing w:after="160"/>
      </w:pPr>
      <w:r>
        <w:rPr>
          <w:color w:val="374151"/>
          <w:sz w:val="22"/>
          <w:szCs w:val="22"/>
          <w:rFonts w:ascii="Calibri" w:cs="Calibri" w:eastAsia="Calibri" w:hAnsi="Calibri"/>
        </w:rPr>
        <w:t xml:space="preserve">A transferência de informação em suportes físicos — pen drives USB, discos externos, fitas magnéticas, CDs/DVDs — apresenta riscos específicos de perda, furto e acesso não autorizado. Suportes físicos não encriptados contendo dados sensíveis e que se percam ou sejam furtados constituem uma violação de dados pessoais sob o RGPD.</w:t>
      </w:r>
    </w:p>
    <w:p>
      <w:pPr>
        <w:pStyle w:val="Heading2"/>
        <w:spacing w:before="320" w:after="160"/>
      </w:pPr>
      <w:r>
        <w:rPr>
          <w:b/>
          <w:bCs/>
          <w:color w:val="1e3a8a"/>
          <w:sz w:val="28"/>
          <w:szCs w:val="28"/>
          <w:rFonts w:ascii="Calibri" w:cs="Calibri" w:eastAsia="Calibri" w:hAnsi="Calibri"/>
        </w:rPr>
        <w:t xml:space="preserve">6.1. Requisitos de encriptação de suportes</w:t>
      </w:r>
    </w:p>
    <w:p>
      <w:pPr>
        <w:pStyle w:val="ListParagraph"/>
        <w:numPr>
          <w:ilvl w:val="0"/>
          <w:numId w:val="1"/>
        </w:numPr>
        <w:spacing w:after="80"/>
      </w:pPr>
      <w:r>
        <w:rPr>
          <w:color w:val="374151"/>
          <w:sz w:val="22"/>
          <w:szCs w:val="22"/>
          <w:rFonts w:ascii="Calibri" w:cs="Calibri" w:eastAsia="Calibri" w:hAnsi="Calibri"/>
        </w:rPr>
        <w:t xml:space="preserve">Encriptação AES-256 obrigatória em todos os suportes físicos que contenham informação confidencial ou superior</w:t>
      </w:r>
    </w:p>
    <w:p>
      <w:pPr>
        <w:pStyle w:val="ListParagraph"/>
        <w:numPr>
          <w:ilvl w:val="0"/>
          <w:numId w:val="1"/>
        </w:numPr>
        <w:spacing w:after="80"/>
      </w:pPr>
      <w:r>
        <w:rPr>
          <w:color w:val="374151"/>
          <w:sz w:val="22"/>
          <w:szCs w:val="22"/>
          <w:rFonts w:ascii="Calibri" w:cs="Calibri" w:eastAsia="Calibri" w:hAnsi="Calibri"/>
        </w:rPr>
        <w:t xml:space="preserve">Apenas suportes com encriptação por hardware aprovados para informação estritamente confidencial (ex: IronKey, Kingston DataTraveler Vault)</w:t>
      </w:r>
    </w:p>
    <w:p>
      <w:pPr>
        <w:pStyle w:val="ListParagraph"/>
        <w:numPr>
          <w:ilvl w:val="0"/>
          <w:numId w:val="1"/>
        </w:numPr>
        <w:spacing w:after="80"/>
      </w:pPr>
      <w:r>
        <w:rPr>
          <w:color w:val="374151"/>
          <w:sz w:val="22"/>
          <w:szCs w:val="22"/>
          <w:rFonts w:ascii="Calibri" w:cs="Calibri" w:eastAsia="Calibri" w:hAnsi="Calibri"/>
        </w:rPr>
        <w:t xml:space="preserve">Encriptação por software (ex: VeraCrypt, BitLocker To Go) aceite para informação confidencial com autorização</w:t>
      </w:r>
    </w:p>
    <w:p>
      <w:pPr>
        <w:pStyle w:val="ListParagraph"/>
        <w:numPr>
          <w:ilvl w:val="0"/>
          <w:numId w:val="1"/>
        </w:numPr>
        <w:spacing w:after="80"/>
      </w:pPr>
      <w:r>
        <w:rPr>
          <w:color w:val="374151"/>
          <w:sz w:val="22"/>
          <w:szCs w:val="22"/>
          <w:rFonts w:ascii="Calibri" w:cs="Calibri" w:eastAsia="Calibri" w:hAnsi="Calibri"/>
        </w:rPr>
        <w:t xml:space="preserve">Pin ou palavra-passe de desbloqueio comunicado ao destinatário por canal separado e seguro (nunca no mesmo email/mensagem)</w:t>
      </w:r>
    </w:p>
    <w:p>
      <w:pPr>
        <w:pStyle w:val="ListParagraph"/>
        <w:numPr>
          <w:ilvl w:val="0"/>
          <w:numId w:val="1"/>
        </w:numPr>
        <w:spacing w:after="80"/>
      </w:pPr>
      <w:r>
        <w:rPr>
          <w:color w:val="374151"/>
          <w:sz w:val="22"/>
          <w:szCs w:val="22"/>
          <w:rFonts w:ascii="Calibri" w:cs="Calibri" w:eastAsia="Calibri" w:hAnsi="Calibri"/>
        </w:rPr>
        <w:t xml:space="preserve">Bloqueio automático após 10 tentativas de desbloqueio falhadas (destruição de dados)</w:t>
      </w:r>
    </w:p>
    <w:p>
      <w:pPr>
        <w:pStyle w:val="Heading2"/>
        <w:spacing w:before="320" w:after="160"/>
      </w:pPr>
      <w:r>
        <w:rPr>
          <w:b/>
          <w:bCs/>
          <w:color w:val="1e3a8a"/>
          <w:sz w:val="28"/>
          <w:szCs w:val="28"/>
          <w:rFonts w:ascii="Calibri" w:cs="Calibri" w:eastAsia="Calibri" w:hAnsi="Calibri"/>
        </w:rPr>
        <w:t xml:space="preserve">6.2. Procedimento de utilização de suportes</w:t>
      </w:r>
    </w:p>
    <w:p>
      <w:pPr>
        <w:pStyle w:val="ListParagraph"/>
        <w:numPr>
          <w:ilvl w:val="0"/>
          <w:numId w:val="1"/>
        </w:numPr>
        <w:spacing w:after="80"/>
      </w:pPr>
      <w:r>
        <w:rPr>
          <w:color w:val="374151"/>
          <w:sz w:val="22"/>
          <w:szCs w:val="22"/>
          <w:rFonts w:ascii="Calibri" w:cs="Calibri" w:eastAsia="Calibri" w:hAnsi="Calibri"/>
        </w:rPr>
        <w:t xml:space="preserve">Pedido formal de suporte físico corporativo ao departamento de TI, com justificação e aprovação</w:t>
      </w:r>
    </w:p>
    <w:p>
      <w:pPr>
        <w:pStyle w:val="ListParagraph"/>
        <w:numPr>
          <w:ilvl w:val="0"/>
          <w:numId w:val="1"/>
        </w:numPr>
        <w:spacing w:after="80"/>
      </w:pPr>
      <w:r>
        <w:rPr>
          <w:color w:val="374151"/>
          <w:sz w:val="22"/>
          <w:szCs w:val="22"/>
          <w:rFonts w:ascii="Calibri" w:cs="Calibri" w:eastAsia="Calibri" w:hAnsi="Calibri"/>
        </w:rPr>
        <w:t xml:space="preserve">Registo de todos os suportes emitidos com número de série, colaborador responsável e conteúdo previsto</w:t>
      </w:r>
    </w:p>
    <w:p>
      <w:pPr>
        <w:pStyle w:val="ListParagraph"/>
        <w:numPr>
          <w:ilvl w:val="0"/>
          <w:numId w:val="1"/>
        </w:numPr>
        <w:spacing w:after="80"/>
      </w:pPr>
      <w:r>
        <w:rPr>
          <w:color w:val="374151"/>
          <w:sz w:val="22"/>
          <w:szCs w:val="22"/>
          <w:rFonts w:ascii="Calibri" w:cs="Calibri" w:eastAsia="Calibri" w:hAnsi="Calibri"/>
        </w:rPr>
        <w:t xml:space="preserve">Verificação anti-malware do suporte antes e após utilização</w:t>
      </w:r>
    </w:p>
    <w:p>
      <w:pPr>
        <w:pStyle w:val="ListParagraph"/>
        <w:numPr>
          <w:ilvl w:val="0"/>
          <w:numId w:val="1"/>
        </w:numPr>
        <w:spacing w:after="80"/>
      </w:pPr>
      <w:r>
        <w:rPr>
          <w:color w:val="374151"/>
          <w:sz w:val="22"/>
          <w:szCs w:val="22"/>
          <w:rFonts w:ascii="Calibri" w:cs="Calibri" w:eastAsia="Calibri" w:hAnsi="Calibri"/>
        </w:rPr>
        <w:t xml:space="preserve">Devolução ao departamento de TI para limpeza segura após utilização; proibição de reutilização pessoal</w:t>
      </w:r>
    </w:p>
    <w:p>
      <w:pPr>
        <w:pStyle w:val="ListParagraph"/>
        <w:numPr>
          <w:ilvl w:val="0"/>
          <w:numId w:val="1"/>
        </w:numPr>
        <w:spacing w:after="80"/>
      </w:pPr>
      <w:r>
        <w:rPr>
          <w:color w:val="374151"/>
          <w:sz w:val="22"/>
          <w:szCs w:val="22"/>
          <w:rFonts w:ascii="Calibri" w:cs="Calibri" w:eastAsia="Calibri" w:hAnsi="Calibri"/>
        </w:rPr>
        <w:t xml:space="preserve">Notificação imediata de perda ou furto de suporte ao responsável de cibersegurança e, se aplicável, à CNPD</w:t>
      </w:r>
    </w:p>
    <w:p>
      <w:pPr>
        <w:pStyle w:val="Heading2"/>
        <w:spacing w:before="320" w:after="160"/>
      </w:pPr>
      <w:r>
        <w:rPr>
          <w:b/>
          <w:bCs/>
          <w:color w:val="1e3a8a"/>
          <w:sz w:val="28"/>
          <w:szCs w:val="28"/>
          <w:rFonts w:ascii="Calibri" w:cs="Calibri" w:eastAsia="Calibri" w:hAnsi="Calibri"/>
        </w:rPr>
        <w:t xml:space="preserve">6.3. Destruição de suportes temporários</w:t>
      </w:r>
    </w:p>
    <w:p>
      <w:pPr>
        <w:pStyle w:val="ListParagraph"/>
        <w:numPr>
          <w:ilvl w:val="0"/>
          <w:numId w:val="1"/>
        </w:numPr>
        <w:spacing w:after="80"/>
      </w:pPr>
      <w:r>
        <w:rPr>
          <w:color w:val="374151"/>
          <w:sz w:val="22"/>
          <w:szCs w:val="22"/>
          <w:rFonts w:ascii="Calibri" w:cs="Calibri" w:eastAsia="Calibri" w:hAnsi="Calibri"/>
        </w:rPr>
        <w:t xml:space="preserve">Suportes usados para transferência pontual destruídos fisicamente após confirmação de receção pelo destinatário</w:t>
      </w:r>
    </w:p>
    <w:p>
      <w:pPr>
        <w:pStyle w:val="ListParagraph"/>
        <w:numPr>
          <w:ilvl w:val="0"/>
          <w:numId w:val="1"/>
        </w:numPr>
        <w:spacing w:after="80"/>
      </w:pPr>
      <w:r>
        <w:rPr>
          <w:color w:val="374151"/>
          <w:sz w:val="22"/>
          <w:szCs w:val="22"/>
          <w:rFonts w:ascii="Calibri" w:cs="Calibri" w:eastAsia="Calibri" w:hAnsi="Calibri"/>
        </w:rPr>
        <w:t xml:space="preserve">Utilização de empresa certificada de destruição para suportes de elevada sensibilidade</w:t>
      </w:r>
    </w:p>
    <w:p>
      <w:pPr>
        <w:pStyle w:val="ListParagraph"/>
        <w:numPr>
          <w:ilvl w:val="0"/>
          <w:numId w:val="1"/>
        </w:numPr>
        <w:spacing w:after="80"/>
      </w:pPr>
      <w:r>
        <w:rPr>
          <w:color w:val="374151"/>
          <w:sz w:val="22"/>
          <w:szCs w:val="22"/>
          <w:rFonts w:ascii="Calibri" w:cs="Calibri" w:eastAsia="Calibri" w:hAnsi="Calibri"/>
        </w:rPr>
        <w:t xml:space="preserve">Certificado de destruição conservado por 5 anos para fins de auditoria e conformidade</w:t>
      </w:r>
    </w:p>
    <w:p>
      <w:pPr>
        <w:shd w:color="dbeafe" w:val="solid"/>
        <w:spacing w:before="160" w:after="160"/>
        <w:ind w:left="360" w:right="360"/>
      </w:pPr>
      <w:r>
        <w:rPr>
          <w:i/>
          <w:iCs/>
          <w:color w:val="1e3a8a"/>
          <w:sz w:val="22"/>
          <w:szCs w:val="22"/>
          <w:rFonts w:ascii="Calibri" w:cs="Calibri" w:eastAsia="Calibri" w:hAnsi="Calibri"/>
        </w:rPr>
        <w:t xml:space="preserve">RGPD Art. 32.º — a perda de suporte físico com dados pessoais não encriptados constitui violação de dados que pode requerer notificação à CNPD no prazo de 72 horas. A encriptação de suportes físicos é a principal medida de mitigação deste risco.</w:t>
      </w:r>
    </w:p>
    <w:p>
      <w:r>
        <w:br w:type="page"/>
      </w:r>
    </w:p>
    <w:p>
      <w:pPr>
        <w:pStyle w:val="Heading1"/>
        <w:spacing w:before="400" w:after="200"/>
      </w:pPr>
      <w:r>
        <w:rPr>
          <w:b/>
          <w:bCs/>
          <w:color w:val="1e3a8a"/>
          <w:sz w:val="32"/>
          <w:szCs w:val="32"/>
          <w:rFonts w:ascii="Calibri" w:cs="Calibri" w:eastAsia="Calibri" w:hAnsi="Calibri"/>
        </w:rPr>
        <w:t xml:space="preserve">7. Transferências internas</w:t>
      </w:r>
    </w:p>
    <w:p>
      <w:pPr>
        <w:spacing w:after="160"/>
      </w:pPr>
      <w:r>
        <w:rPr>
          <w:color w:val="374151"/>
          <w:sz w:val="22"/>
          <w:szCs w:val="22"/>
          <w:rFonts w:ascii="Calibri" w:cs="Calibri" w:eastAsia="Calibri" w:hAnsi="Calibri"/>
        </w:rPr>
        <w:t xml:space="preserve">As transferências internas — entre departamentos, sistemas e processos dentro da organização — são frequentemente subestimadas em termos de risco, mas constituem um vetor de fuga de dados significativo. Dados sensíveis circulam em redes internas e entre sistemas internos, requerendo controlos adequados.</w:t>
      </w:r>
    </w:p>
    <w:p>
      <w:pPr>
        <w:pStyle w:val="Heading2"/>
        <w:spacing w:before="320" w:after="160"/>
      </w:pPr>
      <w:r>
        <w:rPr>
          <w:b/>
          <w:bCs/>
          <w:color w:val="1e3a8a"/>
          <w:sz w:val="28"/>
          <w:szCs w:val="28"/>
          <w:rFonts w:ascii="Calibri" w:cs="Calibri" w:eastAsia="Calibri" w:hAnsi="Calibri"/>
        </w:rPr>
        <w:t xml:space="preserve">7.1. Transferências entre departamentos</w:t>
      </w:r>
    </w:p>
    <w:p>
      <w:pPr>
        <w:pStyle w:val="ListParagraph"/>
        <w:numPr>
          <w:ilvl w:val="0"/>
          <w:numId w:val="1"/>
        </w:numPr>
        <w:spacing w:after="80"/>
      </w:pPr>
      <w:r>
        <w:rPr>
          <w:color w:val="374151"/>
          <w:sz w:val="22"/>
          <w:szCs w:val="22"/>
          <w:rFonts w:ascii="Calibri" w:cs="Calibri" w:eastAsia="Calibri" w:hAnsi="Calibri"/>
        </w:rPr>
        <w:t xml:space="preserve">Informação classificada como confidencial partilhada internamente apenas através dos canais aprovados na Secção 4</w:t>
      </w:r>
    </w:p>
    <w:p>
      <w:pPr>
        <w:pStyle w:val="ListParagraph"/>
        <w:numPr>
          <w:ilvl w:val="0"/>
          <w:numId w:val="1"/>
        </w:numPr>
        <w:spacing w:after="80"/>
      </w:pPr>
      <w:r>
        <w:rPr>
          <w:color w:val="374151"/>
          <w:sz w:val="22"/>
          <w:szCs w:val="22"/>
          <w:rFonts w:ascii="Calibri" w:cs="Calibri" w:eastAsia="Calibri" w:hAnsi="Calibri"/>
        </w:rPr>
        <w:t xml:space="preserve">Proibição de partilha por email de ficheiros com dados pessoais em larga escala sem encriptação</w:t>
      </w:r>
    </w:p>
    <w:p>
      <w:pPr>
        <w:pStyle w:val="ListParagraph"/>
        <w:numPr>
          <w:ilvl w:val="0"/>
          <w:numId w:val="1"/>
        </w:numPr>
        <w:spacing w:after="80"/>
      </w:pPr>
      <w:r>
        <w:rPr>
          <w:color w:val="374151"/>
          <w:sz w:val="22"/>
          <w:szCs w:val="22"/>
          <w:rFonts w:ascii="Calibri" w:cs="Calibri" w:eastAsia="Calibri" w:hAnsi="Calibri"/>
        </w:rPr>
        <w:t xml:space="preserve">Plataforma de partilha interna corporativa (SharePoint, intranet) como canal preferencial para documentação</w:t>
      </w:r>
    </w:p>
    <w:p>
      <w:pPr>
        <w:pStyle w:val="ListParagraph"/>
        <w:numPr>
          <w:ilvl w:val="0"/>
          <w:numId w:val="1"/>
        </w:numPr>
        <w:spacing w:after="80"/>
      </w:pPr>
      <w:r>
        <w:rPr>
          <w:color w:val="374151"/>
          <w:sz w:val="22"/>
          <w:szCs w:val="22"/>
          <w:rFonts w:ascii="Calibri" w:cs="Calibri" w:eastAsia="Calibri" w:hAnsi="Calibri"/>
        </w:rPr>
        <w:t xml:space="preserve">Acesso a documentos internos baseado em necessidade operacional (princípio do menor privilégio)</w:t>
      </w:r>
    </w:p>
    <w:p>
      <w:pPr>
        <w:pStyle w:val="ListParagraph"/>
        <w:numPr>
          <w:ilvl w:val="0"/>
          <w:numId w:val="1"/>
        </w:numPr>
        <w:spacing w:after="80"/>
      </w:pPr>
      <w:r>
        <w:rPr>
          <w:color w:val="374151"/>
          <w:sz w:val="22"/>
          <w:szCs w:val="22"/>
          <w:rFonts w:ascii="Calibri" w:cs="Calibri" w:eastAsia="Calibri" w:hAnsi="Calibri"/>
        </w:rPr>
        <w:t xml:space="preserve">Auditoria de acessos a documentos classificados com registo de quem acedeu, quando e o quê</w:t>
      </w:r>
    </w:p>
    <w:p>
      <w:pPr>
        <w:pStyle w:val="Heading2"/>
        <w:spacing w:before="320" w:after="160"/>
      </w:pPr>
      <w:r>
        <w:rPr>
          <w:b/>
          <w:bCs/>
          <w:color w:val="1e3a8a"/>
          <w:sz w:val="28"/>
          <w:szCs w:val="28"/>
          <w:rFonts w:ascii="Calibri" w:cs="Calibri" w:eastAsia="Calibri" w:hAnsi="Calibri"/>
        </w:rPr>
        <w:t xml:space="preserve">7.2. Transferências entre sistemas (ETL e integração)</w:t>
      </w:r>
    </w:p>
    <w:p>
      <w:pPr>
        <w:pStyle w:val="ListParagraph"/>
        <w:numPr>
          <w:ilvl w:val="0"/>
          <w:numId w:val="1"/>
        </w:numPr>
        <w:spacing w:after="80"/>
      </w:pPr>
      <w:r>
        <w:rPr>
          <w:color w:val="374151"/>
          <w:sz w:val="22"/>
          <w:szCs w:val="22"/>
          <w:rFonts w:ascii="Calibri" w:cs="Calibri" w:eastAsia="Calibri" w:hAnsi="Calibri"/>
        </w:rPr>
        <w:t xml:space="preserve">Transferências automáticas entre sistemas documentadas no catálogo de fluxos de dados da organização</w:t>
      </w:r>
    </w:p>
    <w:p>
      <w:pPr>
        <w:pStyle w:val="ListParagraph"/>
        <w:numPr>
          <w:ilvl w:val="0"/>
          <w:numId w:val="1"/>
        </w:numPr>
        <w:spacing w:after="80"/>
      </w:pPr>
      <w:r>
        <w:rPr>
          <w:color w:val="374151"/>
          <w:sz w:val="22"/>
          <w:szCs w:val="22"/>
          <w:rFonts w:ascii="Calibri" w:cs="Calibri" w:eastAsia="Calibri" w:hAnsi="Calibri"/>
        </w:rPr>
        <w:t xml:space="preserve">Autenticação mútua entre sistemas que trocam dados (certificados de serviço ou tokens)</w:t>
      </w:r>
    </w:p>
    <w:p>
      <w:pPr>
        <w:pStyle w:val="ListParagraph"/>
        <w:numPr>
          <w:ilvl w:val="0"/>
          <w:numId w:val="1"/>
        </w:numPr>
        <w:spacing w:after="80"/>
      </w:pPr>
      <w:r>
        <w:rPr>
          <w:color w:val="374151"/>
          <w:sz w:val="22"/>
          <w:szCs w:val="22"/>
          <w:rFonts w:ascii="Calibri" w:cs="Calibri" w:eastAsia="Calibri" w:hAnsi="Calibri"/>
        </w:rPr>
        <w:t xml:space="preserve">Encriptação dos canais de integração conforme requisitos da Secção 5</w:t>
      </w:r>
    </w:p>
    <w:p>
      <w:pPr>
        <w:pStyle w:val="ListParagraph"/>
        <w:numPr>
          <w:ilvl w:val="0"/>
          <w:numId w:val="1"/>
        </w:numPr>
        <w:spacing w:after="80"/>
      </w:pPr>
      <w:r>
        <w:rPr>
          <w:color w:val="374151"/>
          <w:sz w:val="22"/>
          <w:szCs w:val="22"/>
          <w:rFonts w:ascii="Calibri" w:cs="Calibri" w:eastAsia="Calibri" w:hAnsi="Calibri"/>
        </w:rPr>
        <w:t xml:space="preserve">Processos ETL com logging de todas as transferências: sistema origem, sistema destino, volume, timestamp</w:t>
      </w:r>
    </w:p>
    <w:p>
      <w:pPr>
        <w:pStyle w:val="ListParagraph"/>
        <w:numPr>
          <w:ilvl w:val="0"/>
          <w:numId w:val="1"/>
        </w:numPr>
        <w:spacing w:after="80"/>
      </w:pPr>
      <w:r>
        <w:rPr>
          <w:color w:val="374151"/>
          <w:sz w:val="22"/>
          <w:szCs w:val="22"/>
          <w:rFonts w:ascii="Calibri" w:cs="Calibri" w:eastAsia="Calibri" w:hAnsi="Calibri"/>
        </w:rPr>
        <w:t xml:space="preserve">Validação de integridade dos dados após transferência (checksums ou hashing)</w:t>
      </w:r>
    </w:p>
    <w:p>
      <w:pPr>
        <w:pStyle w:val="ListParagraph"/>
        <w:numPr>
          <w:ilvl w:val="0"/>
          <w:numId w:val="1"/>
        </w:numPr>
        <w:spacing w:after="80"/>
      </w:pPr>
      <w:r>
        <w:rPr>
          <w:color w:val="374151"/>
          <w:sz w:val="22"/>
          <w:szCs w:val="22"/>
          <w:rFonts w:ascii="Calibri" w:cs="Calibri" w:eastAsia="Calibri" w:hAnsi="Calibri"/>
        </w:rPr>
        <w:t xml:space="preserve">Transferências de bases de dados para ambientes não produtivos sujeitas a anonimização ou pseudonimização</w:t>
      </w:r>
    </w:p>
    <w:p>
      <w:pPr>
        <w:shd w:color="dbeafe" w:val="solid"/>
        <w:spacing w:before="160" w:after="160"/>
        <w:ind w:left="360" w:right="360"/>
      </w:pPr>
      <w:r>
        <w:rPr>
          <w:i/>
          <w:iCs/>
          <w:color w:val="1e3a8a"/>
          <w:sz w:val="22"/>
          <w:szCs w:val="22"/>
          <w:rFonts w:ascii="Calibri" w:cs="Calibri" w:eastAsia="Calibri" w:hAnsi="Calibri"/>
        </w:rPr>
        <w:t xml:space="preserve">Art. 26.º do DL 125/2025 — os fluxos de dados internos entre sistemas críticos devem ser documentados e protegidos com os mesmos controlos que se aplicam a transferências externas de igual classificação.</w:t>
      </w:r>
    </w:p>
    <w:p>
      <w:r>
        <w:br w:type="page"/>
      </w:r>
    </w:p>
    <w:p>
      <w:pPr>
        <w:pStyle w:val="Heading1"/>
        <w:spacing w:before="400" w:after="200"/>
      </w:pPr>
      <w:r>
        <w:rPr>
          <w:b/>
          <w:bCs/>
          <w:color w:val="1e3a8a"/>
          <w:sz w:val="32"/>
          <w:szCs w:val="32"/>
          <w:rFonts w:ascii="Calibri" w:cs="Calibri" w:eastAsia="Calibri" w:hAnsi="Calibri"/>
        </w:rPr>
        <w:t xml:space="preserve">8. Transferências externas</w:t>
      </w:r>
    </w:p>
    <w:p>
      <w:pPr>
        <w:spacing w:after="160"/>
      </w:pPr>
      <w:r>
        <w:rPr>
          <w:color w:val="374151"/>
          <w:sz w:val="22"/>
          <w:szCs w:val="22"/>
          <w:rFonts w:ascii="Calibri" w:cs="Calibri" w:eastAsia="Calibri" w:hAnsi="Calibri"/>
        </w:rPr>
        <w:t xml:space="preserve">As transferências de informação para entidades externas — fornecedores, clientes, parceiros, reguladores — introduzem riscos adicionais relacionados com a segurança do destinatário, a conformidade contratual e as obrigações legais de proteção de dados. Todo o envio de dados sensíveis a terceiros requer controlos prévios específicos.</w:t>
      </w:r>
    </w:p>
    <w:p>
      <w:pPr>
        <w:pStyle w:val="Heading2"/>
        <w:spacing w:before="320" w:after="160"/>
      </w:pPr>
      <w:r>
        <w:rPr>
          <w:b/>
          <w:bCs/>
          <w:color w:val="1e3a8a"/>
          <w:sz w:val="28"/>
          <w:szCs w:val="28"/>
          <w:rFonts w:ascii="Calibri" w:cs="Calibri" w:eastAsia="Calibri" w:hAnsi="Calibri"/>
        </w:rPr>
        <w:t xml:space="preserve">8.1. Requisitos prévios às transferências externas</w:t>
      </w:r>
    </w:p>
    <w:p>
      <w:pPr>
        <w:pStyle w:val="ListParagraph"/>
        <w:numPr>
          <w:ilvl w:val="0"/>
          <w:numId w:val="1"/>
        </w:numPr>
        <w:spacing w:after="80"/>
      </w:pPr>
      <w:r>
        <w:rPr>
          <w:color w:val="374151"/>
          <w:sz w:val="22"/>
          <w:szCs w:val="22"/>
          <w:rFonts w:ascii="Calibri" w:cs="Calibri" w:eastAsia="Calibri" w:hAnsi="Calibri"/>
        </w:rPr>
        <w:t xml:space="preserve">Contrato ou acordo de confidencialidade (NDA) assinado com o destinatário externo antes de qualquer transferência de informação confidencial</w:t>
      </w:r>
    </w:p>
    <w:p>
      <w:pPr>
        <w:pStyle w:val="ListParagraph"/>
        <w:numPr>
          <w:ilvl w:val="0"/>
          <w:numId w:val="1"/>
        </w:numPr>
        <w:spacing w:after="80"/>
      </w:pPr>
      <w:r>
        <w:rPr>
          <w:color w:val="374151"/>
          <w:sz w:val="22"/>
          <w:szCs w:val="22"/>
          <w:rFonts w:ascii="Calibri" w:cs="Calibri" w:eastAsia="Calibri" w:hAnsi="Calibri"/>
        </w:rPr>
        <w:t xml:space="preserve">Verificação prévia da identidade do destinatário e da sua autorização para receber a informação</w:t>
      </w:r>
    </w:p>
    <w:p>
      <w:pPr>
        <w:pStyle w:val="ListParagraph"/>
        <w:numPr>
          <w:ilvl w:val="0"/>
          <w:numId w:val="1"/>
        </w:numPr>
        <w:spacing w:after="80"/>
      </w:pPr>
      <w:r>
        <w:rPr>
          <w:color w:val="374151"/>
          <w:sz w:val="22"/>
          <w:szCs w:val="22"/>
          <w:rFonts w:ascii="Calibri" w:cs="Calibri" w:eastAsia="Calibri" w:hAnsi="Calibri"/>
        </w:rPr>
        <w:t xml:space="preserve">Avaliação da segurança do destinatário para transferências recorrentes ou de grande volume (questionário de segurança ou certificação)</w:t>
      </w:r>
    </w:p>
    <w:p>
      <w:pPr>
        <w:pStyle w:val="ListParagraph"/>
        <w:numPr>
          <w:ilvl w:val="0"/>
          <w:numId w:val="1"/>
        </w:numPr>
        <w:spacing w:after="80"/>
      </w:pPr>
      <w:r>
        <w:rPr>
          <w:color w:val="374151"/>
          <w:sz w:val="22"/>
          <w:szCs w:val="22"/>
          <w:rFonts w:ascii="Calibri" w:cs="Calibri" w:eastAsia="Calibri" w:hAnsi="Calibri"/>
        </w:rPr>
        <w:t xml:space="preserve">Aprovação formal do responsável de negócio para transferências de informação estritamente confidencial</w:t>
      </w:r>
    </w:p>
    <w:p>
      <w:pPr>
        <w:pStyle w:val="ListParagraph"/>
        <w:numPr>
          <w:ilvl w:val="0"/>
          <w:numId w:val="1"/>
        </w:numPr>
        <w:spacing w:after="80"/>
      </w:pPr>
      <w:r>
        <w:rPr>
          <w:color w:val="374151"/>
          <w:sz w:val="22"/>
          <w:szCs w:val="22"/>
          <w:rFonts w:ascii="Calibri" w:cs="Calibri" w:eastAsia="Calibri" w:hAnsi="Calibri"/>
        </w:rPr>
        <w:t xml:space="preserve">Registo da transferência com identificação do destinatário, conteúdo, canal utilizado e data</w:t>
      </w:r>
    </w:p>
    <w:p>
      <w:pPr>
        <w:pStyle w:val="Heading2"/>
        <w:spacing w:before="320" w:after="160"/>
      </w:pPr>
      <w:r>
        <w:rPr>
          <w:b/>
          <w:bCs/>
          <w:color w:val="1e3a8a"/>
          <w:sz w:val="28"/>
          <w:szCs w:val="28"/>
          <w:rFonts w:ascii="Calibri" w:cs="Calibri" w:eastAsia="Calibri" w:hAnsi="Calibri"/>
        </w:rPr>
        <w:t xml:space="preserve">8.2. Transferências a fornecedores e subcontratantes</w:t>
      </w:r>
    </w:p>
    <w:p>
      <w:pPr>
        <w:pStyle w:val="ListParagraph"/>
        <w:numPr>
          <w:ilvl w:val="0"/>
          <w:numId w:val="1"/>
        </w:numPr>
        <w:spacing w:after="80"/>
      </w:pPr>
      <w:r>
        <w:rPr>
          <w:color w:val="374151"/>
          <w:sz w:val="22"/>
          <w:szCs w:val="22"/>
          <w:rFonts w:ascii="Calibri" w:cs="Calibri" w:eastAsia="Calibri" w:hAnsi="Calibri"/>
        </w:rPr>
        <w:t xml:space="preserve">Acordo de processamento de dados (DPA) assinado com fornecedores que processem dados pessoais (obrigação RGPD)</w:t>
      </w:r>
    </w:p>
    <w:p>
      <w:pPr>
        <w:pStyle w:val="ListParagraph"/>
        <w:numPr>
          <w:ilvl w:val="0"/>
          <w:numId w:val="1"/>
        </w:numPr>
        <w:spacing w:after="80"/>
      </w:pPr>
      <w:r>
        <w:rPr>
          <w:color w:val="374151"/>
          <w:sz w:val="22"/>
          <w:szCs w:val="22"/>
          <w:rFonts w:ascii="Calibri" w:cs="Calibri" w:eastAsia="Calibri" w:hAnsi="Calibri"/>
        </w:rPr>
        <w:t xml:space="preserve">Cláusulas de segurança da informação incluídas nos contratos de prestação de serviços</w:t>
      </w:r>
    </w:p>
    <w:p>
      <w:pPr>
        <w:pStyle w:val="ListParagraph"/>
        <w:numPr>
          <w:ilvl w:val="0"/>
          <w:numId w:val="1"/>
        </w:numPr>
        <w:spacing w:after="80"/>
      </w:pPr>
      <w:r>
        <w:rPr>
          <w:color w:val="374151"/>
          <w:sz w:val="22"/>
          <w:szCs w:val="22"/>
          <w:rFonts w:ascii="Calibri" w:cs="Calibri" w:eastAsia="Calibri" w:hAnsi="Calibri"/>
        </w:rPr>
        <w:t xml:space="preserve">Canais de transferência seguros definidos contratualmente com fornecedores críticos</w:t>
      </w:r>
    </w:p>
    <w:p>
      <w:pPr>
        <w:pStyle w:val="ListParagraph"/>
        <w:numPr>
          <w:ilvl w:val="0"/>
          <w:numId w:val="1"/>
        </w:numPr>
        <w:spacing w:after="80"/>
      </w:pPr>
      <w:r>
        <w:rPr>
          <w:color w:val="374151"/>
          <w:sz w:val="22"/>
          <w:szCs w:val="22"/>
          <w:rFonts w:ascii="Calibri" w:cs="Calibri" w:eastAsia="Calibri" w:hAnsi="Calibri"/>
        </w:rPr>
        <w:t xml:space="preserve">Verificação anual do cumprimento das obrigações de segurança pelos fornecedores</w:t>
      </w:r>
    </w:p>
    <w:p>
      <w:pPr>
        <w:pStyle w:val="ListParagraph"/>
        <w:numPr>
          <w:ilvl w:val="0"/>
          <w:numId w:val="1"/>
        </w:numPr>
        <w:spacing w:after="80"/>
      </w:pPr>
      <w:r>
        <w:rPr>
          <w:color w:val="374151"/>
          <w:sz w:val="22"/>
          <w:szCs w:val="22"/>
          <w:rFonts w:ascii="Calibri" w:cs="Calibri" w:eastAsia="Calibri" w:hAnsi="Calibri"/>
        </w:rPr>
        <w:t xml:space="preserve">Notificação imediata da organização em caso de incidente de segurança que afete dados recebidos</w:t>
      </w:r>
    </w:p>
    <w:p>
      <w:pPr>
        <w:shd w:color="dbeafe" w:val="solid"/>
        <w:spacing w:before="160" w:after="160"/>
        <w:ind w:left="360" w:right="360"/>
      </w:pPr>
      <w:r>
        <w:rPr>
          <w:i/>
          <w:iCs/>
          <w:color w:val="1e3a8a"/>
          <w:sz w:val="22"/>
          <w:szCs w:val="22"/>
          <w:rFonts w:ascii="Calibri" w:cs="Calibri" w:eastAsia="Calibri" w:hAnsi="Calibri"/>
        </w:rPr>
        <w:t xml:space="preserve">Art. 26.º, n.º 2, alínea d) do DL 125/2025 — a segurança na cadeia de fornecimento inclui a proteção dos dados partilhados com fornecedores e a exigência de controlos adequados de segurança da informação nos contratos com terceiros.</w:t>
      </w:r>
    </w:p>
    <w:p>
      <w:r>
        <w:br w:type="page"/>
      </w:r>
    </w:p>
    <w:p>
      <w:pPr>
        <w:pStyle w:val="Heading1"/>
        <w:spacing w:before="400" w:after="200"/>
      </w:pPr>
      <w:r>
        <w:rPr>
          <w:b/>
          <w:bCs/>
          <w:color w:val="1e3a8a"/>
          <w:sz w:val="32"/>
          <w:szCs w:val="32"/>
          <w:rFonts w:ascii="Calibri" w:cs="Calibri" w:eastAsia="Calibri" w:hAnsi="Calibri"/>
        </w:rPr>
        <w:t xml:space="preserve">9. Transferências internacionais de dados</w:t>
      </w:r>
    </w:p>
    <w:p>
      <w:pPr>
        <w:spacing w:after="160"/>
      </w:pPr>
      <w:r>
        <w:rPr>
          <w:color w:val="374151"/>
          <w:sz w:val="22"/>
          <w:szCs w:val="22"/>
          <w:rFonts w:ascii="Calibri" w:cs="Calibri" w:eastAsia="Calibri" w:hAnsi="Calibri"/>
        </w:rPr>
        <w:t xml:space="preserve">A transferência de dados pessoais para países fora do Espaço Económico Europeu (EEE) está sujeita a requisitos específicos do RGPD, que se sobrepõem e complementam os requisitos de segurança técnica do DL 125/2025 e do CIR 2024/2690. Qualquer transferência internacional de dados pessoais requer base legal adequada.</w:t>
      </w:r>
    </w:p>
    <w:p>
      <w:pPr>
        <w:pStyle w:val="Heading2"/>
        <w:spacing w:before="320" w:after="160"/>
      </w:pPr>
      <w:r>
        <w:rPr>
          <w:b/>
          <w:bCs/>
          <w:color w:val="1e3a8a"/>
          <w:sz w:val="28"/>
          <w:szCs w:val="28"/>
          <w:rFonts w:ascii="Calibri" w:cs="Calibri" w:eastAsia="Calibri" w:hAnsi="Calibri"/>
        </w:rPr>
        <w:t xml:space="preserve">9.1. Fundamentos legais para transferências internacionais</w:t>
      </w:r>
    </w:p>
    <w:p>
      <w:pPr>
        <w:pStyle w:val="ListParagraph"/>
        <w:numPr>
          <w:ilvl w:val="0"/>
          <w:numId w:val="1"/>
        </w:numPr>
        <w:spacing w:after="80"/>
      </w:pPr>
      <w:r>
        <w:rPr>
          <w:color w:val="374151"/>
          <w:sz w:val="22"/>
          <w:szCs w:val="22"/>
          <w:rFonts w:ascii="Calibri" w:cs="Calibri" w:eastAsia="Calibri" w:hAnsi="Calibri"/>
        </w:rPr>
        <w:t xml:space="preserve">Decisão de adequação da Comissão Europeia: países reconhecidos como adequados (ex: Reino Unido, Japão, EUA via Data Privacy Framework) não requerem mecanismos adicionais</w:t>
      </w:r>
    </w:p>
    <w:p>
      <w:pPr>
        <w:pStyle w:val="ListParagraph"/>
        <w:numPr>
          <w:ilvl w:val="0"/>
          <w:numId w:val="1"/>
        </w:numPr>
        <w:spacing w:after="80"/>
      </w:pPr>
      <w:r>
        <w:rPr>
          <w:color w:val="374151"/>
          <w:sz w:val="22"/>
          <w:szCs w:val="22"/>
          <w:rFonts w:ascii="Calibri" w:cs="Calibri" w:eastAsia="Calibri" w:hAnsi="Calibri"/>
        </w:rPr>
        <w:t xml:space="preserve">Cláusulas Contratuais Tipo (SCCs) da Comissão Europeia: mecanismo principal para países sem decisão de adequação</w:t>
      </w:r>
    </w:p>
    <w:p>
      <w:pPr>
        <w:pStyle w:val="ListParagraph"/>
        <w:numPr>
          <w:ilvl w:val="0"/>
          <w:numId w:val="1"/>
        </w:numPr>
        <w:spacing w:after="80"/>
      </w:pPr>
      <w:r>
        <w:rPr>
          <w:color w:val="374151"/>
          <w:sz w:val="22"/>
          <w:szCs w:val="22"/>
          <w:rFonts w:ascii="Calibri" w:cs="Calibri" w:eastAsia="Calibri" w:hAnsi="Calibri"/>
        </w:rPr>
        <w:t xml:space="preserve">Regras Corporativas Vinculativas (BCRs): para transferências intragrupo em empresas multinacionais</w:t>
      </w:r>
    </w:p>
    <w:p>
      <w:pPr>
        <w:pStyle w:val="ListParagraph"/>
        <w:numPr>
          <w:ilvl w:val="0"/>
          <w:numId w:val="1"/>
        </w:numPr>
        <w:spacing w:after="80"/>
      </w:pPr>
      <w:r>
        <w:rPr>
          <w:color w:val="374151"/>
          <w:sz w:val="22"/>
          <w:szCs w:val="22"/>
          <w:rFonts w:ascii="Calibri" w:cs="Calibri" w:eastAsia="Calibri" w:hAnsi="Calibri"/>
        </w:rPr>
        <w:t xml:space="preserve">Exceções do Art. 49.º RGPD: apenas em situações específicas e com consentimento explícito ou necessidade contratual</w:t>
      </w:r>
    </w:p>
    <w:p>
      <w:pPr>
        <w:pStyle w:val="Heading2"/>
        <w:spacing w:before="320" w:after="160"/>
      </w:pPr>
      <w:r>
        <w:rPr>
          <w:b/>
          <w:bCs/>
          <w:color w:val="1e3a8a"/>
          <w:sz w:val="28"/>
          <w:szCs w:val="28"/>
          <w:rFonts w:ascii="Calibri" w:cs="Calibri" w:eastAsia="Calibri" w:hAnsi="Calibri"/>
        </w:rPr>
        <w:t xml:space="preserve">9.2. Requisitos adicionais para transferências internacionais</w:t>
      </w:r>
    </w:p>
    <w:p>
      <w:pPr>
        <w:pStyle w:val="ListParagraph"/>
        <w:numPr>
          <w:ilvl w:val="0"/>
          <w:numId w:val="1"/>
        </w:numPr>
        <w:spacing w:after="80"/>
      </w:pPr>
      <w:r>
        <w:rPr>
          <w:color w:val="374151"/>
          <w:sz w:val="22"/>
          <w:szCs w:val="22"/>
          <w:rFonts w:ascii="Calibri" w:cs="Calibri" w:eastAsia="Calibri" w:hAnsi="Calibri"/>
        </w:rPr>
        <w:t xml:space="preserve">Mapeamento completo de todas as transferências internacionais de dados pessoais no Registo de Atividades de Tratamento (RAT)</w:t>
      </w:r>
    </w:p>
    <w:p>
      <w:pPr>
        <w:pStyle w:val="ListParagraph"/>
        <w:numPr>
          <w:ilvl w:val="0"/>
          <w:numId w:val="1"/>
        </w:numPr>
        <w:spacing w:after="80"/>
      </w:pPr>
      <w:r>
        <w:rPr>
          <w:color w:val="374151"/>
          <w:sz w:val="22"/>
          <w:szCs w:val="22"/>
          <w:rFonts w:ascii="Calibri" w:cs="Calibri" w:eastAsia="Calibri" w:hAnsi="Calibri"/>
        </w:rPr>
        <w:t xml:space="preserve">Avaliação de Impacto de Transferência (TIA) para países de alto risco (ex: países sem Estado de direito robusto em matéria de privacidade)</w:t>
      </w:r>
    </w:p>
    <w:p>
      <w:pPr>
        <w:pStyle w:val="ListParagraph"/>
        <w:numPr>
          <w:ilvl w:val="0"/>
          <w:numId w:val="1"/>
        </w:numPr>
        <w:spacing w:after="80"/>
      </w:pPr>
      <w:r>
        <w:rPr>
          <w:color w:val="374151"/>
          <w:sz w:val="22"/>
          <w:szCs w:val="22"/>
          <w:rFonts w:ascii="Calibri" w:cs="Calibri" w:eastAsia="Calibri" w:hAnsi="Calibri"/>
        </w:rPr>
        <w:t xml:space="preserve">Medidas suplementares quando o mecanismo de transferência não é suficiente (encriptação adicional, pseudonimização)</w:t>
      </w:r>
    </w:p>
    <w:p>
      <w:pPr>
        <w:pStyle w:val="ListParagraph"/>
        <w:numPr>
          <w:ilvl w:val="0"/>
          <w:numId w:val="1"/>
        </w:numPr>
        <w:spacing w:after="80"/>
      </w:pPr>
      <w:r>
        <w:rPr>
          <w:color w:val="374151"/>
          <w:sz w:val="22"/>
          <w:szCs w:val="22"/>
          <w:rFonts w:ascii="Calibri" w:cs="Calibri" w:eastAsia="Calibri" w:hAnsi="Calibri"/>
        </w:rPr>
        <w:t xml:space="preserve">Coordenação com o Encarregado de Proteção de Dados (DPO) para todas as transferências internacionais de dados pessoais</w:t>
      </w:r>
    </w:p>
    <w:p>
      <w:pPr>
        <w:pStyle w:val="ListParagraph"/>
        <w:numPr>
          <w:ilvl w:val="0"/>
          <w:numId w:val="1"/>
        </w:numPr>
        <w:spacing w:after="80"/>
      </w:pPr>
      <w:r>
        <w:rPr>
          <w:color w:val="374151"/>
          <w:sz w:val="22"/>
          <w:szCs w:val="22"/>
          <w:rFonts w:ascii="Calibri" w:cs="Calibri" w:eastAsia="Calibri" w:hAnsi="Calibri"/>
        </w:rPr>
        <w:t xml:space="preserve">Notificação à CNPD de novas categorias de transferências internacionais de elevado risco</w:t>
      </w:r>
    </w:p>
    <w:p>
      <w:pPr>
        <w:shd w:color="dbeafe" w:val="solid"/>
        <w:spacing w:before="160" w:after="160"/>
        <w:ind w:left="360" w:right="360"/>
      </w:pPr>
      <w:r>
        <w:rPr>
          <w:i/>
          <w:iCs/>
          <w:color w:val="1e3a8a"/>
          <w:sz w:val="22"/>
          <w:szCs w:val="22"/>
          <w:rFonts w:ascii="Calibri" w:cs="Calibri" w:eastAsia="Calibri" w:hAnsi="Calibri"/>
        </w:rPr>
        <w:t xml:space="preserve">RGPD Arts. 44.º a 49.º — requisitos obrigatórios para transferências internacionais de dados pessoais, adicionais aos requisitos técnicos de encriptação do DL 125/2025. A violação destes requisitos pode resultar em coimas de até 20 000 000 EUR.</w:t>
      </w:r>
    </w:p>
    <w:p>
      <w:r>
        <w:br w:type="page"/>
      </w:r>
    </w:p>
    <w:p>
      <w:pPr>
        <w:pStyle w:val="Heading1"/>
        <w:spacing w:before="400" w:after="200"/>
      </w:pPr>
      <w:r>
        <w:rPr>
          <w:b/>
          <w:bCs/>
          <w:color w:val="1e3a8a"/>
          <w:sz w:val="32"/>
          <w:szCs w:val="32"/>
          <w:rFonts w:ascii="Calibri" w:cs="Calibri" w:eastAsia="Calibri" w:hAnsi="Calibri"/>
        </w:rPr>
        <w:t xml:space="preserve">10. Prevenção de fugas de dados (DLP)</w:t>
      </w:r>
    </w:p>
    <w:p>
      <w:pPr>
        <w:spacing w:after="160"/>
      </w:pPr>
      <w:r>
        <w:rPr>
          <w:color w:val="374151"/>
          <w:sz w:val="22"/>
          <w:szCs w:val="22"/>
          <w:rFonts w:ascii="Calibri" w:cs="Calibri" w:eastAsia="Calibri" w:hAnsi="Calibri"/>
        </w:rPr>
        <w:t xml:space="preserve">Os sistemas de Data Loss Prevention (DLP) monitorizam, detetam e, quando configurados para tal, bloqueiam transferências de dados sensíveis através de canais não aprovados ou para destinatários não autorizados. O DLP é um controlo essencial para prevenir fugas de dados intencionais e acidentais.</w:t>
      </w:r>
    </w:p>
    <w:p>
      <w:pPr>
        <w:pStyle w:val="Heading2"/>
        <w:spacing w:before="320" w:after="160"/>
      </w:pPr>
      <w:r>
        <w:rPr>
          <w:b/>
          <w:bCs/>
          <w:color w:val="1e3a8a"/>
          <w:sz w:val="28"/>
          <w:szCs w:val="28"/>
          <w:rFonts w:ascii="Calibri" w:cs="Calibri" w:eastAsia="Calibri" w:hAnsi="Calibri"/>
        </w:rPr>
        <w:t xml:space="preserve">10.1. Âmbito de cobertura do DLP</w:t>
      </w:r>
    </w:p>
    <w:p>
      <w:pPr>
        <w:pStyle w:val="ListParagraph"/>
        <w:numPr>
          <w:ilvl w:val="0"/>
          <w:numId w:val="1"/>
        </w:numPr>
        <w:spacing w:after="80"/>
      </w:pPr>
      <w:r>
        <w:rPr>
          <w:color w:val="374151"/>
          <w:sz w:val="22"/>
          <w:szCs w:val="22"/>
          <w:rFonts w:ascii="Calibri" w:cs="Calibri" w:eastAsia="Calibri" w:hAnsi="Calibri"/>
        </w:rPr>
        <w:t xml:space="preserve">DLP de endpoint: monitorização de cópias para suportes removíveis, impressão e partilha de ficheiros locais</w:t>
      </w:r>
    </w:p>
    <w:p>
      <w:pPr>
        <w:pStyle w:val="ListParagraph"/>
        <w:numPr>
          <w:ilvl w:val="0"/>
          <w:numId w:val="1"/>
        </w:numPr>
        <w:spacing w:after="80"/>
      </w:pPr>
      <w:r>
        <w:rPr>
          <w:color w:val="374151"/>
          <w:sz w:val="22"/>
          <w:szCs w:val="22"/>
          <w:rFonts w:ascii="Calibri" w:cs="Calibri" w:eastAsia="Calibri" w:hAnsi="Calibri"/>
        </w:rPr>
        <w:t xml:space="preserve">DLP de rede: análise de conteúdo em tráfego de email, web e transferências de ficheiros na rede corporativa</w:t>
      </w:r>
    </w:p>
    <w:p>
      <w:pPr>
        <w:pStyle w:val="ListParagraph"/>
        <w:numPr>
          <w:ilvl w:val="0"/>
          <w:numId w:val="1"/>
        </w:numPr>
        <w:spacing w:after="80"/>
      </w:pPr>
      <w:r>
        <w:rPr>
          <w:color w:val="374151"/>
          <w:sz w:val="22"/>
          <w:szCs w:val="22"/>
          <w:rFonts w:ascii="Calibri" w:cs="Calibri" w:eastAsia="Calibri" w:hAnsi="Calibri"/>
        </w:rPr>
        <w:t xml:space="preserve">DLP de cloud: monitorização de atividade nas plataformas cloud aprovadas (Microsoft 365, Google Workspace)</w:t>
      </w:r>
    </w:p>
    <w:p>
      <w:pPr>
        <w:pStyle w:val="ListParagraph"/>
        <w:numPr>
          <w:ilvl w:val="0"/>
          <w:numId w:val="1"/>
        </w:numPr>
        <w:spacing w:after="80"/>
      </w:pPr>
      <w:r>
        <w:rPr>
          <w:color w:val="374151"/>
          <w:sz w:val="22"/>
          <w:szCs w:val="22"/>
          <w:rFonts w:ascii="Calibri" w:cs="Calibri" w:eastAsia="Calibri" w:hAnsi="Calibri"/>
        </w:rPr>
        <w:t xml:space="preserve">DLP de dados em repouso: deteção de dados sensíveis armazenados em locais não aprovados</w:t>
      </w:r>
    </w:p>
    <w:p>
      <w:pPr>
        <w:pStyle w:val="Heading2"/>
        <w:spacing w:before="320" w:after="160"/>
      </w:pPr>
      <w:r>
        <w:rPr>
          <w:b/>
          <w:bCs/>
          <w:color w:val="1e3a8a"/>
          <w:sz w:val="28"/>
          <w:szCs w:val="28"/>
          <w:rFonts w:ascii="Calibri" w:cs="Calibri" w:eastAsia="Calibri" w:hAnsi="Calibri"/>
        </w:rPr>
        <w:t xml:space="preserve">10.2. Regras e políticas DLP</w:t>
      </w:r>
    </w:p>
    <w:p>
      <w:pPr>
        <w:pStyle w:val="ListParagraph"/>
        <w:numPr>
          <w:ilvl w:val="0"/>
          <w:numId w:val="1"/>
        </w:numPr>
        <w:spacing w:after="80"/>
      </w:pPr>
      <w:r>
        <w:rPr>
          <w:color w:val="374151"/>
          <w:sz w:val="22"/>
          <w:szCs w:val="22"/>
          <w:rFonts w:ascii="Calibri" w:cs="Calibri" w:eastAsia="Calibri" w:hAnsi="Calibri"/>
        </w:rPr>
        <w:t xml:space="preserve">Deteção de dados pessoais: NIF, IBAN, cartão de crédito, dados de saúde, dados biométricos</w:t>
      </w:r>
    </w:p>
    <w:p>
      <w:pPr>
        <w:pStyle w:val="ListParagraph"/>
        <w:numPr>
          <w:ilvl w:val="0"/>
          <w:numId w:val="1"/>
        </w:numPr>
        <w:spacing w:after="80"/>
      </w:pPr>
      <w:r>
        <w:rPr>
          <w:color w:val="374151"/>
          <w:sz w:val="22"/>
          <w:szCs w:val="22"/>
          <w:rFonts w:ascii="Calibri" w:cs="Calibri" w:eastAsia="Calibri" w:hAnsi="Calibri"/>
        </w:rPr>
        <w:t xml:space="preserve">Deteção de informação de negócio sensível: segredos comerciais, propostas comerciais, dados financeiros não publicados</w:t>
      </w:r>
    </w:p>
    <w:p>
      <w:pPr>
        <w:pStyle w:val="ListParagraph"/>
        <w:numPr>
          <w:ilvl w:val="0"/>
          <w:numId w:val="1"/>
        </w:numPr>
        <w:spacing w:after="80"/>
      </w:pPr>
      <w:r>
        <w:rPr>
          <w:color w:val="374151"/>
          <w:sz w:val="22"/>
          <w:szCs w:val="22"/>
          <w:rFonts w:ascii="Calibri" w:cs="Calibri" w:eastAsia="Calibri" w:hAnsi="Calibri"/>
        </w:rPr>
        <w:t xml:space="preserve">Bloqueio automático de envio externo de ficheiros com classificação estritamente confidencial por canais não aprovados</w:t>
      </w:r>
    </w:p>
    <w:p>
      <w:pPr>
        <w:pStyle w:val="ListParagraph"/>
        <w:numPr>
          <w:ilvl w:val="0"/>
          <w:numId w:val="1"/>
        </w:numPr>
        <w:spacing w:after="80"/>
      </w:pPr>
      <w:r>
        <w:rPr>
          <w:color w:val="374151"/>
          <w:sz w:val="22"/>
          <w:szCs w:val="22"/>
          <w:rFonts w:ascii="Calibri" w:cs="Calibri" w:eastAsia="Calibri" w:hAnsi="Calibri"/>
        </w:rPr>
        <w:t xml:space="preserve">Alerta ao utilizador e ao administrador DLP para tentativas de transferência de dados sensíveis por canais não aprovados</w:t>
      </w:r>
    </w:p>
    <w:p>
      <w:pPr>
        <w:pStyle w:val="ListParagraph"/>
        <w:numPr>
          <w:ilvl w:val="0"/>
          <w:numId w:val="1"/>
        </w:numPr>
        <w:spacing w:after="80"/>
      </w:pPr>
      <w:r>
        <w:rPr>
          <w:color w:val="374151"/>
          <w:sz w:val="22"/>
          <w:szCs w:val="22"/>
          <w:rFonts w:ascii="Calibri" w:cs="Calibri" w:eastAsia="Calibri" w:hAnsi="Calibri"/>
        </w:rPr>
        <w:t xml:space="preserve">Quarentena de transferências suspeitas para revisão manual pelo responsável de segurança</w:t>
      </w:r>
    </w:p>
    <w:p>
      <w:pPr>
        <w:pStyle w:val="Heading2"/>
        <w:spacing w:before="320" w:after="160"/>
      </w:pPr>
      <w:r>
        <w:rPr>
          <w:b/>
          <w:bCs/>
          <w:color w:val="1e3a8a"/>
          <w:sz w:val="28"/>
          <w:szCs w:val="28"/>
          <w:rFonts w:ascii="Calibri" w:cs="Calibri" w:eastAsia="Calibri" w:hAnsi="Calibri"/>
        </w:rPr>
        <w:t xml:space="preserve">10.3. Resposta a alertas DLP</w:t>
      </w:r>
    </w:p>
    <w:p>
      <w:pPr>
        <w:pStyle w:val="ListParagraph"/>
        <w:numPr>
          <w:ilvl w:val="0"/>
          <w:numId w:val="1"/>
        </w:numPr>
        <w:spacing w:after="80"/>
      </w:pPr>
      <w:r>
        <w:rPr>
          <w:color w:val="374151"/>
          <w:sz w:val="22"/>
          <w:szCs w:val="22"/>
          <w:rFonts w:ascii="Calibri" w:cs="Calibri" w:eastAsia="Calibri" w:hAnsi="Calibri"/>
        </w:rPr>
        <w:t xml:space="preserve">Alerta de baixa severidade: registo automático, revisão semanal pelo administrador DLP</w:t>
      </w:r>
    </w:p>
    <w:p>
      <w:pPr>
        <w:pStyle w:val="ListParagraph"/>
        <w:numPr>
          <w:ilvl w:val="0"/>
          <w:numId w:val="1"/>
        </w:numPr>
        <w:spacing w:after="80"/>
      </w:pPr>
      <w:r>
        <w:rPr>
          <w:color w:val="374151"/>
          <w:sz w:val="22"/>
          <w:szCs w:val="22"/>
          <w:rFonts w:ascii="Calibri" w:cs="Calibri" w:eastAsia="Calibri" w:hAnsi="Calibri"/>
        </w:rPr>
        <w:t xml:space="preserve">Alerta de média severidade: notificação ao gestor do utilizador e ao responsável de segurança, resposta em 24 horas</w:t>
      </w:r>
    </w:p>
    <w:p>
      <w:pPr>
        <w:pStyle w:val="ListParagraph"/>
        <w:numPr>
          <w:ilvl w:val="0"/>
          <w:numId w:val="1"/>
        </w:numPr>
        <w:spacing w:after="80"/>
      </w:pPr>
      <w:r>
        <w:rPr>
          <w:color w:val="374151"/>
          <w:sz w:val="22"/>
          <w:szCs w:val="22"/>
          <w:rFonts w:ascii="Calibri" w:cs="Calibri" w:eastAsia="Calibri" w:hAnsi="Calibri"/>
        </w:rPr>
        <w:t xml:space="preserve">Alerta de alta severidade (potencial fuga de dados): bloqueio da transferência, investigação imediata, decisão em 4 horas</w:t>
      </w:r>
    </w:p>
    <w:p>
      <w:pPr>
        <w:pStyle w:val="ListParagraph"/>
        <w:numPr>
          <w:ilvl w:val="0"/>
          <w:numId w:val="1"/>
        </w:numPr>
        <w:spacing w:after="80"/>
      </w:pPr>
      <w:r>
        <w:rPr>
          <w:color w:val="374151"/>
          <w:sz w:val="22"/>
          <w:szCs w:val="22"/>
          <w:rFonts w:ascii="Calibri" w:cs="Calibri" w:eastAsia="Calibri" w:hAnsi="Calibri"/>
        </w:rPr>
        <w:t xml:space="preserve">Incidente confirmado de fuga de dados: ativação do Plano de Resposta a Incidentes e notificação à CNPD se envolve dados pessoais</w:t>
      </w:r>
    </w:p>
    <w:p>
      <w:pPr>
        <w:shd w:color="dbeafe" w:val="solid"/>
        <w:spacing w:before="160" w:after="160"/>
        <w:ind w:left="360" w:right="360"/>
      </w:pPr>
      <w:r>
        <w:rPr>
          <w:i/>
          <w:iCs/>
          <w:color w:val="1e3a8a"/>
          <w:sz w:val="22"/>
          <w:szCs w:val="22"/>
          <w:rFonts w:ascii="Calibri" w:cs="Calibri" w:eastAsia="Calibri" w:hAnsi="Calibri"/>
        </w:rPr>
        <w:t xml:space="preserve">Art. 26.º, n.º 2, alínea b) do DL 125/2025 — a prevenção de fugas de dados e a monitorização de transferências são componentes obrigatórios das medidas de gestão do risco de incidentes de cibersegurança.</w:t>
      </w:r>
    </w:p>
    <w:p>
      <w:r>
        <w:br w:type="page"/>
      </w:r>
    </w:p>
    <w:p>
      <w:pPr>
        <w:pStyle w:val="Heading1"/>
        <w:spacing w:before="400" w:after="200"/>
      </w:pPr>
      <w:r>
        <w:rPr>
          <w:b/>
          <w:bCs/>
          <w:color w:val="1e3a8a"/>
          <w:sz w:val="32"/>
          <w:szCs w:val="32"/>
          <w:rFonts w:ascii="Calibri" w:cs="Calibri" w:eastAsia="Calibri" w:hAnsi="Calibri"/>
        </w:rPr>
        <w:t xml:space="preserve">11. Registo e auditoria de transferências</w:t>
      </w:r>
    </w:p>
    <w:p>
      <w:pPr>
        <w:spacing w:after="160"/>
      </w:pPr>
      <w:r>
        <w:rPr>
          <w:color w:val="374151"/>
          <w:sz w:val="22"/>
          <w:szCs w:val="22"/>
          <w:rFonts w:ascii="Calibri" w:cs="Calibri" w:eastAsia="Calibri" w:hAnsi="Calibri"/>
        </w:rPr>
        <w:t xml:space="preserve">O registo sistemático de todas as transferências de dados classificados é essencial para detetar anomalias, suportar investigações forenses, demonstrar conformidade regulamentar e responder a solicitações de autoridades competentes. Sem registo adequado, a organização não consegue determinar o que foi transferido, para onde e por quem.</w:t>
      </w:r>
    </w:p>
    <w:p>
      <w:pPr>
        <w:pStyle w:val="Heading2"/>
        <w:spacing w:before="320" w:after="160"/>
      </w:pPr>
      <w:r>
        <w:rPr>
          <w:b/>
          <w:bCs/>
          <w:color w:val="1e3a8a"/>
          <w:sz w:val="28"/>
          <w:szCs w:val="28"/>
          <w:rFonts w:ascii="Calibri" w:cs="Calibri" w:eastAsia="Calibri" w:hAnsi="Calibri"/>
        </w:rPr>
        <w:t xml:space="preserve">11.1. Requisitos de logging</w:t>
      </w:r>
    </w:p>
    <w:p>
      <w:pPr>
        <w:pStyle w:val="ListParagraph"/>
        <w:numPr>
          <w:ilvl w:val="0"/>
          <w:numId w:val="1"/>
        </w:numPr>
        <w:spacing w:after="80"/>
      </w:pPr>
      <w:r>
        <w:rPr>
          <w:color w:val="374151"/>
          <w:sz w:val="22"/>
          <w:szCs w:val="22"/>
          <w:rFonts w:ascii="Calibri" w:cs="Calibri" w:eastAsia="Calibri" w:hAnsi="Calibri"/>
        </w:rPr>
        <w:t xml:space="preserve">Registo de todas as transferências de informação confidencial ou superior: remetente, destinatário, sistema, ficheiro/volume, canal, data e hora</w:t>
      </w:r>
    </w:p>
    <w:p>
      <w:pPr>
        <w:pStyle w:val="ListParagraph"/>
        <w:numPr>
          <w:ilvl w:val="0"/>
          <w:numId w:val="1"/>
        </w:numPr>
        <w:spacing w:after="80"/>
      </w:pPr>
      <w:r>
        <w:rPr>
          <w:color w:val="374151"/>
          <w:sz w:val="22"/>
          <w:szCs w:val="22"/>
          <w:rFonts w:ascii="Calibri" w:cs="Calibri" w:eastAsia="Calibri" w:hAnsi="Calibri"/>
        </w:rPr>
        <w:t xml:space="preserve">Registo de tentativas de transferência bloqueadas pelo DLP com dados completos para análise</w:t>
      </w:r>
    </w:p>
    <w:p>
      <w:pPr>
        <w:pStyle w:val="ListParagraph"/>
        <w:numPr>
          <w:ilvl w:val="0"/>
          <w:numId w:val="1"/>
        </w:numPr>
        <w:spacing w:after="80"/>
      </w:pPr>
      <w:r>
        <w:rPr>
          <w:color w:val="374151"/>
          <w:sz w:val="22"/>
          <w:szCs w:val="22"/>
          <w:rFonts w:ascii="Calibri" w:cs="Calibri" w:eastAsia="Calibri" w:hAnsi="Calibri"/>
        </w:rPr>
        <w:t xml:space="preserve">Logs de SFTP, FTPS e outros protocolos de transferência centralizados no SIEM</w:t>
      </w:r>
    </w:p>
    <w:p>
      <w:pPr>
        <w:pStyle w:val="ListParagraph"/>
        <w:numPr>
          <w:ilvl w:val="0"/>
          <w:numId w:val="1"/>
        </w:numPr>
        <w:spacing w:after="80"/>
      </w:pPr>
      <w:r>
        <w:rPr>
          <w:color w:val="374151"/>
          <w:sz w:val="22"/>
          <w:szCs w:val="22"/>
          <w:rFonts w:ascii="Calibri" w:cs="Calibri" w:eastAsia="Calibri" w:hAnsi="Calibri"/>
        </w:rPr>
        <w:t xml:space="preserve">Logs de API com registo de todos os endpoints acedidos, volume de dados e identidade da aplicação</w:t>
      </w:r>
    </w:p>
    <w:p>
      <w:pPr>
        <w:pStyle w:val="ListParagraph"/>
        <w:numPr>
          <w:ilvl w:val="0"/>
          <w:numId w:val="1"/>
        </w:numPr>
        <w:spacing w:after="80"/>
      </w:pPr>
      <w:r>
        <w:rPr>
          <w:color w:val="374151"/>
          <w:sz w:val="22"/>
          <w:szCs w:val="22"/>
          <w:rFonts w:ascii="Calibri" w:cs="Calibri" w:eastAsia="Calibri" w:hAnsi="Calibri"/>
        </w:rPr>
        <w:t xml:space="preserve">Logs de transferências em plataformas cloud (SharePoint, OneDrive) com utilizador e ação realizada</w:t>
      </w:r>
    </w:p>
    <w:p>
      <w:pPr>
        <w:pStyle w:val="ListParagraph"/>
        <w:numPr>
          <w:ilvl w:val="0"/>
          <w:numId w:val="1"/>
        </w:numPr>
        <w:spacing w:after="80"/>
      </w:pPr>
      <w:r>
        <w:rPr>
          <w:color w:val="374151"/>
          <w:sz w:val="22"/>
          <w:szCs w:val="22"/>
          <w:rFonts w:ascii="Calibri" w:cs="Calibri" w:eastAsia="Calibri" w:hAnsi="Calibri"/>
        </w:rPr>
        <w:t xml:space="preserve">Todos os logs com timestamp sincronizado com servidor NTP corporativo para garantia de integridade temporal</w:t>
      </w:r>
    </w:p>
    <w:p>
      <w:pPr>
        <w:pStyle w:val="Heading2"/>
        <w:spacing w:before="320" w:after="160"/>
      </w:pPr>
      <w:r>
        <w:rPr>
          <w:b/>
          <w:bCs/>
          <w:color w:val="1e3a8a"/>
          <w:sz w:val="28"/>
          <w:szCs w:val="28"/>
          <w:rFonts w:ascii="Calibri" w:cs="Calibri" w:eastAsia="Calibri" w:hAnsi="Calibri"/>
        </w:rPr>
        <w:t xml:space="preserve">11.2. Retenção e proteção de logs</w:t>
      </w:r>
    </w:p>
    <w:p>
      <w:pPr>
        <w:pStyle w:val="ListParagraph"/>
        <w:numPr>
          <w:ilvl w:val="0"/>
          <w:numId w:val="1"/>
        </w:numPr>
        <w:spacing w:after="80"/>
      </w:pPr>
      <w:r>
        <w:rPr>
          <w:color w:val="374151"/>
          <w:sz w:val="22"/>
          <w:szCs w:val="22"/>
          <w:rFonts w:ascii="Calibri" w:cs="Calibri" w:eastAsia="Calibri" w:hAnsi="Calibri"/>
        </w:rPr>
        <w:t xml:space="preserve">Retenção de logs de transferência: 12 meses em armazenamento ativo; 5 anos em arquivo</w:t>
      </w:r>
    </w:p>
    <w:p>
      <w:pPr>
        <w:pStyle w:val="ListParagraph"/>
        <w:numPr>
          <w:ilvl w:val="0"/>
          <w:numId w:val="1"/>
        </w:numPr>
        <w:spacing w:after="80"/>
      </w:pPr>
      <w:r>
        <w:rPr>
          <w:color w:val="374151"/>
          <w:sz w:val="22"/>
          <w:szCs w:val="22"/>
          <w:rFonts w:ascii="Calibri" w:cs="Calibri" w:eastAsia="Calibri" w:hAnsi="Calibri"/>
        </w:rPr>
        <w:t xml:space="preserve">Logs armazenados em sistema imutável (write-once) para proteção contra alteração</w:t>
      </w:r>
    </w:p>
    <w:p>
      <w:pPr>
        <w:pStyle w:val="ListParagraph"/>
        <w:numPr>
          <w:ilvl w:val="0"/>
          <w:numId w:val="1"/>
        </w:numPr>
        <w:spacing w:after="80"/>
      </w:pPr>
      <w:r>
        <w:rPr>
          <w:color w:val="374151"/>
          <w:sz w:val="22"/>
          <w:szCs w:val="22"/>
          <w:rFonts w:ascii="Calibri" w:cs="Calibri" w:eastAsia="Calibri" w:hAnsi="Calibri"/>
        </w:rPr>
        <w:t xml:space="preserve">Verificação de integridade dos logs com checksums ou assinaturas digitais</w:t>
      </w:r>
    </w:p>
    <w:p>
      <w:pPr>
        <w:pStyle w:val="ListParagraph"/>
        <w:numPr>
          <w:ilvl w:val="0"/>
          <w:numId w:val="1"/>
        </w:numPr>
        <w:spacing w:after="80"/>
      </w:pPr>
      <w:r>
        <w:rPr>
          <w:color w:val="374151"/>
          <w:sz w:val="22"/>
          <w:szCs w:val="22"/>
          <w:rFonts w:ascii="Calibri" w:cs="Calibri" w:eastAsia="Calibri" w:hAnsi="Calibri"/>
        </w:rPr>
        <w:t xml:space="preserve">Acesso aos logs de transferência restrito ao responsável de cibersegurança e auditores</w:t>
      </w:r>
    </w:p>
    <w:p>
      <w:pPr>
        <w:pStyle w:val="ListParagraph"/>
        <w:numPr>
          <w:ilvl w:val="0"/>
          <w:numId w:val="1"/>
        </w:numPr>
        <w:spacing w:after="80"/>
      </w:pPr>
      <w:r>
        <w:rPr>
          <w:color w:val="374151"/>
          <w:sz w:val="22"/>
          <w:szCs w:val="22"/>
          <w:rFonts w:ascii="Calibri" w:cs="Calibri" w:eastAsia="Calibri" w:hAnsi="Calibri"/>
        </w:rPr>
        <w:t xml:space="preserve">Relatório mensal de transferências externas de dados sensíveis para o responsável de cibersegurança</w:t>
      </w:r>
    </w:p>
    <w:p>
      <w:pPr>
        <w:pStyle w:val="Heading2"/>
        <w:spacing w:before="320" w:after="160"/>
      </w:pPr>
      <w:r>
        <w:rPr>
          <w:b/>
          <w:bCs/>
          <w:color w:val="1e3a8a"/>
          <w:sz w:val="28"/>
          <w:szCs w:val="28"/>
          <w:rFonts w:ascii="Calibri" w:cs="Calibri" w:eastAsia="Calibri" w:hAnsi="Calibri"/>
        </w:rPr>
        <w:t xml:space="preserve">11.3. Auditoria periódica</w:t>
      </w:r>
    </w:p>
    <w:p>
      <w:pPr>
        <w:pStyle w:val="ListParagraph"/>
        <w:numPr>
          <w:ilvl w:val="0"/>
          <w:numId w:val="1"/>
        </w:numPr>
        <w:spacing w:after="80"/>
      </w:pPr>
      <w:r>
        <w:rPr>
          <w:color w:val="374151"/>
          <w:sz w:val="22"/>
          <w:szCs w:val="22"/>
          <w:rFonts w:ascii="Calibri" w:cs="Calibri" w:eastAsia="Calibri" w:hAnsi="Calibri"/>
        </w:rPr>
        <w:t xml:space="preserve">Auditoria trimestral das transferências externas de informação confidencial para verificação de conformidade</w:t>
      </w:r>
    </w:p>
    <w:p>
      <w:pPr>
        <w:pStyle w:val="ListParagraph"/>
        <w:numPr>
          <w:ilvl w:val="0"/>
          <w:numId w:val="1"/>
        </w:numPr>
        <w:spacing w:after="80"/>
      </w:pPr>
      <w:r>
        <w:rPr>
          <w:color w:val="374151"/>
          <w:sz w:val="22"/>
          <w:szCs w:val="22"/>
          <w:rFonts w:ascii="Calibri" w:cs="Calibri" w:eastAsia="Calibri" w:hAnsi="Calibri"/>
        </w:rPr>
        <w:t xml:space="preserve">Revisão semestral das regras DLP e dos canais de transferência aprovados</w:t>
      </w:r>
    </w:p>
    <w:p>
      <w:pPr>
        <w:pStyle w:val="ListParagraph"/>
        <w:numPr>
          <w:ilvl w:val="0"/>
          <w:numId w:val="1"/>
        </w:numPr>
        <w:spacing w:after="80"/>
      </w:pPr>
      <w:r>
        <w:rPr>
          <w:color w:val="374151"/>
          <w:sz w:val="22"/>
          <w:szCs w:val="22"/>
          <w:rFonts w:ascii="Calibri" w:cs="Calibri" w:eastAsia="Calibri" w:hAnsi="Calibri"/>
        </w:rPr>
        <w:t xml:space="preserve">Auditoria anual completa da política de transferência de informação com relatório ao órgão de gestão</w:t>
      </w:r>
    </w:p>
    <w:p>
      <w:pPr>
        <w:pStyle w:val="ListParagraph"/>
        <w:numPr>
          <w:ilvl w:val="0"/>
          <w:numId w:val="1"/>
        </w:numPr>
        <w:spacing w:after="80"/>
      </w:pPr>
      <w:r>
        <w:rPr>
          <w:color w:val="374151"/>
          <w:sz w:val="22"/>
          <w:szCs w:val="22"/>
          <w:rFonts w:ascii="Calibri" w:cs="Calibri" w:eastAsia="Calibri" w:hAnsi="Calibri"/>
        </w:rPr>
        <w:t xml:space="preserve">Testes de penetração anuais que incluam cenários de exfiltração de dados</w:t>
      </w:r>
    </w:p>
    <w:p>
      <w:pPr>
        <w:shd w:color="dbeafe" w:val="solid"/>
        <w:spacing w:before="160" w:after="160"/>
        <w:ind w:left="360" w:right="360"/>
      </w:pPr>
      <w:r>
        <w:rPr>
          <w:i/>
          <w:iCs/>
          <w:color w:val="1e3a8a"/>
          <w:sz w:val="22"/>
          <w:szCs w:val="22"/>
          <w:rFonts w:ascii="Calibri" w:cs="Calibri" w:eastAsia="Calibri" w:hAnsi="Calibri"/>
        </w:rPr>
        <w:t xml:space="preserve">Art. 26.º do DL 125/2025 — o registo e a auditoria de transferências de dados são componentes das medidas de gestão de risco obrigatórias, permitindo a deteção de incidentes, a resposta forense e a demonstração de conformidade às autoridades de supervisão.</w:t>
      </w:r>
    </w:p>
    <w:p>
      <w:r>
        <w:br w:type="page"/>
      </w:r>
    </w:p>
    <w:p>
      <w:pPr>
        <w:pStyle w:val="Heading1"/>
        <w:spacing w:before="400" w:after="200"/>
      </w:pPr>
      <w:r>
        <w:rPr>
          <w:b/>
          <w:bCs/>
          <w:color w:val="1e3a8a"/>
          <w:sz w:val="32"/>
          <w:szCs w:val="32"/>
          <w:rFonts w:ascii="Calibri" w:cs="Calibri" w:eastAsia="Calibri" w:hAnsi="Calibri"/>
        </w:rPr>
        <w:t xml:space="preserve">12. Responsabilidades</w:t>
      </w:r>
    </w:p>
    <w:p>
      <w:pPr>
        <w:spacing w:after="160"/>
      </w:pPr>
      <w:r>
        <w:rPr>
          <w:color w:val="374151"/>
          <w:sz w:val="22"/>
          <w:szCs w:val="22"/>
          <w:rFonts w:ascii="Calibri" w:cs="Calibri" w:eastAsia="Calibri" w:hAnsi="Calibri"/>
        </w:rPr>
        <w:t xml:space="preserve">A gestão segura das transferências de informação é uma responsabilidade partilhada entre diferentes funções da organização. A tabela seguinte define as responsabilidades de cada interveniente no ciclo de vida das transferências de dados.</w:t>
      </w:r>
    </w:p>
    <w:p>
      <w:pPr>
        <w:pStyle w:val="Heading2"/>
        <w:spacing w:before="320" w:after="160"/>
      </w:pPr>
      <w:r>
        <w:rPr>
          <w:b/>
          <w:bCs/>
          <w:color w:val="1e3a8a"/>
          <w:sz w:val="28"/>
          <w:szCs w:val="28"/>
          <w:rFonts w:ascii="Calibri" w:cs="Calibri" w:eastAsia="Calibri" w:hAnsi="Calibri"/>
        </w:rPr>
        <w:t xml:space="preserve">12.1. Responsável de cibersegurança (CISO)</w:t>
      </w:r>
    </w:p>
    <w:p>
      <w:pPr>
        <w:pStyle w:val="ListParagraph"/>
        <w:numPr>
          <w:ilvl w:val="0"/>
          <w:numId w:val="1"/>
        </w:numPr>
        <w:spacing w:after="80"/>
      </w:pPr>
      <w:r>
        <w:rPr>
          <w:color w:val="374151"/>
          <w:sz w:val="22"/>
          <w:szCs w:val="22"/>
          <w:rFonts w:ascii="Calibri" w:cs="Calibri" w:eastAsia="Calibri" w:hAnsi="Calibri"/>
        </w:rPr>
        <w:t xml:space="preserve">Aprovar e manter esta política de transferência segura de informação</w:t>
      </w:r>
    </w:p>
    <w:p>
      <w:pPr>
        <w:pStyle w:val="ListParagraph"/>
        <w:numPr>
          <w:ilvl w:val="0"/>
          <w:numId w:val="1"/>
        </w:numPr>
        <w:spacing w:after="80"/>
      </w:pPr>
      <w:r>
        <w:rPr>
          <w:color w:val="374151"/>
          <w:sz w:val="22"/>
          <w:szCs w:val="22"/>
          <w:rFonts w:ascii="Calibri" w:cs="Calibri" w:eastAsia="Calibri" w:hAnsi="Calibri"/>
        </w:rPr>
        <w:t xml:space="preserve">Aprovar canais de transferência e métodos de encriptação; definir exceções</w:t>
      </w:r>
    </w:p>
    <w:p>
      <w:pPr>
        <w:pStyle w:val="ListParagraph"/>
        <w:numPr>
          <w:ilvl w:val="0"/>
          <w:numId w:val="1"/>
        </w:numPr>
        <w:spacing w:after="80"/>
      </w:pPr>
      <w:r>
        <w:rPr>
          <w:color w:val="374151"/>
          <w:sz w:val="22"/>
          <w:szCs w:val="22"/>
          <w:rFonts w:ascii="Calibri" w:cs="Calibri" w:eastAsia="Calibri" w:hAnsi="Calibri"/>
        </w:rPr>
        <w:t xml:space="preserve">Supervisionar o sistema DLP e analisar relatórios de alertas e incidentes</w:t>
      </w:r>
    </w:p>
    <w:p>
      <w:pPr>
        <w:pStyle w:val="ListParagraph"/>
        <w:numPr>
          <w:ilvl w:val="0"/>
          <w:numId w:val="1"/>
        </w:numPr>
        <w:spacing w:after="80"/>
      </w:pPr>
      <w:r>
        <w:rPr>
          <w:color w:val="374151"/>
          <w:sz w:val="22"/>
          <w:szCs w:val="22"/>
          <w:rFonts w:ascii="Calibri" w:cs="Calibri" w:eastAsia="Calibri" w:hAnsi="Calibri"/>
        </w:rPr>
        <w:t xml:space="preserve">Autorizar transferências externas de informação estritamente confidencial</w:t>
      </w:r>
    </w:p>
    <w:p>
      <w:pPr>
        <w:pStyle w:val="ListParagraph"/>
        <w:numPr>
          <w:ilvl w:val="0"/>
          <w:numId w:val="1"/>
        </w:numPr>
        <w:spacing w:after="80"/>
      </w:pPr>
      <w:r>
        <w:rPr>
          <w:color w:val="374151"/>
          <w:sz w:val="22"/>
          <w:szCs w:val="22"/>
          <w:rFonts w:ascii="Calibri" w:cs="Calibri" w:eastAsia="Calibri" w:hAnsi="Calibri"/>
        </w:rPr>
        <w:t xml:space="preserve">Reportar ao órgão de gestão o estado da conformidade em matéria de transferências</w:t>
      </w:r>
    </w:p>
    <w:p>
      <w:pPr>
        <w:pStyle w:val="Heading2"/>
        <w:spacing w:before="320" w:after="160"/>
      </w:pPr>
      <w:r>
        <w:rPr>
          <w:b/>
          <w:bCs/>
          <w:color w:val="1e3a8a"/>
          <w:sz w:val="28"/>
          <w:szCs w:val="28"/>
          <w:rFonts w:ascii="Calibri" w:cs="Calibri" w:eastAsia="Calibri" w:hAnsi="Calibri"/>
        </w:rPr>
        <w:t xml:space="preserve">12.2. Remetente (colaborador ou sistema)</w:t>
      </w:r>
    </w:p>
    <w:p>
      <w:pPr>
        <w:pStyle w:val="ListParagraph"/>
        <w:numPr>
          <w:ilvl w:val="0"/>
          <w:numId w:val="1"/>
        </w:numPr>
        <w:spacing w:after="80"/>
      </w:pPr>
      <w:r>
        <w:rPr>
          <w:color w:val="374151"/>
          <w:sz w:val="22"/>
          <w:szCs w:val="22"/>
          <w:rFonts w:ascii="Calibri" w:cs="Calibri" w:eastAsia="Calibri" w:hAnsi="Calibri"/>
        </w:rPr>
        <w:t xml:space="preserve">Classificar corretamente a informação antes de iniciar a transferência</w:t>
      </w:r>
    </w:p>
    <w:p>
      <w:pPr>
        <w:pStyle w:val="ListParagraph"/>
        <w:numPr>
          <w:ilvl w:val="0"/>
          <w:numId w:val="1"/>
        </w:numPr>
        <w:spacing w:after="80"/>
      </w:pPr>
      <w:r>
        <w:rPr>
          <w:color w:val="374151"/>
          <w:sz w:val="22"/>
          <w:szCs w:val="22"/>
          <w:rFonts w:ascii="Calibri" w:cs="Calibri" w:eastAsia="Calibri" w:hAnsi="Calibri"/>
        </w:rPr>
        <w:t xml:space="preserve">Verificar a identidade e autorização do destinatário antes do envio</w:t>
      </w:r>
    </w:p>
    <w:p>
      <w:pPr>
        <w:pStyle w:val="ListParagraph"/>
        <w:numPr>
          <w:ilvl w:val="0"/>
          <w:numId w:val="1"/>
        </w:numPr>
        <w:spacing w:after="80"/>
      </w:pPr>
      <w:r>
        <w:rPr>
          <w:color w:val="374151"/>
          <w:sz w:val="22"/>
          <w:szCs w:val="22"/>
          <w:rFonts w:ascii="Calibri" w:cs="Calibri" w:eastAsia="Calibri" w:hAnsi="Calibri"/>
        </w:rPr>
        <w:t xml:space="preserve">Utilizar apenas canais de transferência aprovados para a classificação da informação</w:t>
      </w:r>
    </w:p>
    <w:p>
      <w:pPr>
        <w:pStyle w:val="ListParagraph"/>
        <w:numPr>
          <w:ilvl w:val="0"/>
          <w:numId w:val="1"/>
        </w:numPr>
        <w:spacing w:after="80"/>
      </w:pPr>
      <w:r>
        <w:rPr>
          <w:color w:val="374151"/>
          <w:sz w:val="22"/>
          <w:szCs w:val="22"/>
          <w:rFonts w:ascii="Calibri" w:cs="Calibri" w:eastAsia="Calibri" w:hAnsi="Calibri"/>
        </w:rPr>
        <w:t xml:space="preserve">Registar transferências de informação confidencial no sistema de registo de transferências</w:t>
      </w:r>
    </w:p>
    <w:p>
      <w:pPr>
        <w:pStyle w:val="ListParagraph"/>
        <w:numPr>
          <w:ilvl w:val="0"/>
          <w:numId w:val="1"/>
        </w:numPr>
        <w:spacing w:after="80"/>
      </w:pPr>
      <w:r>
        <w:rPr>
          <w:color w:val="374151"/>
          <w:sz w:val="22"/>
          <w:szCs w:val="22"/>
          <w:rFonts w:ascii="Calibri" w:cs="Calibri" w:eastAsia="Calibri" w:hAnsi="Calibri"/>
        </w:rPr>
        <w:t xml:space="preserve">Notificar imediatamente o responsável de segurança em caso de envio acidental para destinatário errado</w:t>
      </w:r>
    </w:p>
    <w:p>
      <w:pPr>
        <w:pStyle w:val="Heading2"/>
        <w:spacing w:before="320" w:after="160"/>
      </w:pPr>
      <w:r>
        <w:rPr>
          <w:b/>
          <w:bCs/>
          <w:color w:val="1e3a8a"/>
          <w:sz w:val="28"/>
          <w:szCs w:val="28"/>
          <w:rFonts w:ascii="Calibri" w:cs="Calibri" w:eastAsia="Calibri" w:hAnsi="Calibri"/>
        </w:rPr>
        <w:t xml:space="preserve">12.3. Destinatário</w:t>
      </w:r>
    </w:p>
    <w:p>
      <w:pPr>
        <w:pStyle w:val="ListParagraph"/>
        <w:numPr>
          <w:ilvl w:val="0"/>
          <w:numId w:val="1"/>
        </w:numPr>
        <w:spacing w:after="80"/>
      </w:pPr>
      <w:r>
        <w:rPr>
          <w:color w:val="374151"/>
          <w:sz w:val="22"/>
          <w:szCs w:val="22"/>
          <w:rFonts w:ascii="Calibri" w:cs="Calibri" w:eastAsia="Calibri" w:hAnsi="Calibri"/>
        </w:rPr>
        <w:t xml:space="preserve">Confirmar a receção da informação no canal definido pelo remetente</w:t>
      </w:r>
    </w:p>
    <w:p>
      <w:pPr>
        <w:pStyle w:val="ListParagraph"/>
        <w:numPr>
          <w:ilvl w:val="0"/>
          <w:numId w:val="1"/>
        </w:numPr>
        <w:spacing w:after="80"/>
      </w:pPr>
      <w:r>
        <w:rPr>
          <w:color w:val="374151"/>
          <w:sz w:val="22"/>
          <w:szCs w:val="22"/>
          <w:rFonts w:ascii="Calibri" w:cs="Calibri" w:eastAsia="Calibri" w:hAnsi="Calibri"/>
        </w:rPr>
        <w:t xml:space="preserve">Armazenar a informação recebida de acordo com a sua classificação e a política de armazenamento</w:t>
      </w:r>
    </w:p>
    <w:p>
      <w:pPr>
        <w:pStyle w:val="ListParagraph"/>
        <w:numPr>
          <w:ilvl w:val="0"/>
          <w:numId w:val="1"/>
        </w:numPr>
        <w:spacing w:after="80"/>
      </w:pPr>
      <w:r>
        <w:rPr>
          <w:color w:val="374151"/>
          <w:sz w:val="22"/>
          <w:szCs w:val="22"/>
          <w:rFonts w:ascii="Calibri" w:cs="Calibri" w:eastAsia="Calibri" w:hAnsi="Calibri"/>
        </w:rPr>
        <w:t xml:space="preserve">Não reencaminhar informação classificada sem autorização do remetente ou do responsável de negócio</w:t>
      </w:r>
    </w:p>
    <w:p>
      <w:pPr>
        <w:pStyle w:val="ListParagraph"/>
        <w:numPr>
          <w:ilvl w:val="0"/>
          <w:numId w:val="1"/>
        </w:numPr>
        <w:spacing w:after="80"/>
      </w:pPr>
      <w:r>
        <w:rPr>
          <w:color w:val="374151"/>
          <w:sz w:val="22"/>
          <w:szCs w:val="22"/>
          <w:rFonts w:ascii="Calibri" w:cs="Calibri" w:eastAsia="Calibri" w:hAnsi="Calibri"/>
        </w:rPr>
        <w:t xml:space="preserve">Reportar qualquer anomalia na transferência recebida ao remetente e ao responsável de segurança</w:t>
      </w:r>
    </w:p>
    <w:p>
      <w:pPr>
        <w:pStyle w:val="Heading2"/>
        <w:spacing w:before="320" w:after="160"/>
      </w:pPr>
      <w:r>
        <w:rPr>
          <w:b/>
          <w:bCs/>
          <w:color w:val="1e3a8a"/>
          <w:sz w:val="28"/>
          <w:szCs w:val="28"/>
          <w:rFonts w:ascii="Calibri" w:cs="Calibri" w:eastAsia="Calibri" w:hAnsi="Calibri"/>
        </w:rPr>
        <w:t xml:space="preserve">12.4. Encarregado de Proteção de Dados (DPO)</w:t>
      </w:r>
    </w:p>
    <w:p>
      <w:pPr>
        <w:pStyle w:val="ListParagraph"/>
        <w:numPr>
          <w:ilvl w:val="0"/>
          <w:numId w:val="1"/>
        </w:numPr>
        <w:spacing w:after="80"/>
      </w:pPr>
      <w:r>
        <w:rPr>
          <w:color w:val="374151"/>
          <w:sz w:val="22"/>
          <w:szCs w:val="22"/>
          <w:rFonts w:ascii="Calibri" w:cs="Calibri" w:eastAsia="Calibri" w:hAnsi="Calibri"/>
        </w:rPr>
        <w:t xml:space="preserve">Supervisionar as transferências de dados pessoais, em especial as internacionais</w:t>
      </w:r>
    </w:p>
    <w:p>
      <w:pPr>
        <w:pStyle w:val="ListParagraph"/>
        <w:numPr>
          <w:ilvl w:val="0"/>
          <w:numId w:val="1"/>
        </w:numPr>
        <w:spacing w:after="80"/>
      </w:pPr>
      <w:r>
        <w:rPr>
          <w:color w:val="374151"/>
          <w:sz w:val="22"/>
          <w:szCs w:val="22"/>
          <w:rFonts w:ascii="Calibri" w:cs="Calibri" w:eastAsia="Calibri" w:hAnsi="Calibri"/>
        </w:rPr>
        <w:t xml:space="preserve">Verificar a existência de base legal adequada para transferências de dados pessoais a terceiros</w:t>
      </w:r>
    </w:p>
    <w:p>
      <w:pPr>
        <w:pStyle w:val="ListParagraph"/>
        <w:numPr>
          <w:ilvl w:val="0"/>
          <w:numId w:val="1"/>
        </w:numPr>
        <w:spacing w:after="80"/>
      </w:pPr>
      <w:r>
        <w:rPr>
          <w:color w:val="374151"/>
          <w:sz w:val="22"/>
          <w:szCs w:val="22"/>
          <w:rFonts w:ascii="Calibri" w:cs="Calibri" w:eastAsia="Calibri" w:hAnsi="Calibri"/>
        </w:rPr>
        <w:t xml:space="preserve">Manter o Registo de Atividades de Tratamento atualizado com os fluxos de dados pessoais</w:t>
      </w:r>
    </w:p>
    <w:p>
      <w:pPr>
        <w:pStyle w:val="ListParagraph"/>
        <w:numPr>
          <w:ilvl w:val="0"/>
          <w:numId w:val="1"/>
        </w:numPr>
        <w:spacing w:after="80"/>
      </w:pPr>
      <w:r>
        <w:rPr>
          <w:color w:val="374151"/>
          <w:sz w:val="22"/>
          <w:szCs w:val="22"/>
          <w:rFonts w:ascii="Calibri" w:cs="Calibri" w:eastAsia="Calibri" w:hAnsi="Calibri"/>
        </w:rPr>
        <w:t xml:space="preserve">Coordenar a resposta à CNPD em caso de violação de dados relacionada com transferências</w:t>
      </w:r>
    </w:p>
    <w:p>
      <w:pPr>
        <w:pStyle w:val="ListParagraph"/>
        <w:numPr>
          <w:ilvl w:val="0"/>
          <w:numId w:val="1"/>
        </w:numPr>
        <w:spacing w:after="80"/>
      </w:pPr>
      <w:r>
        <w:rPr>
          <w:color w:val="374151"/>
          <w:sz w:val="22"/>
          <w:szCs w:val="22"/>
          <w:rFonts w:ascii="Calibri" w:cs="Calibri" w:eastAsia="Calibri" w:hAnsi="Calibri"/>
        </w:rPr>
        <w:t xml:space="preserve">Aconselhar sobre a necessidade de Avaliação de Impacto para novas categorias de transferências</w:t>
      </w:r>
    </w:p>
    <w:p>
      <w:pPr>
        <w:shd w:color="dbeafe" w:val="solid"/>
        <w:spacing w:before="160" w:after="160"/>
        <w:ind w:left="360" w:right="360"/>
      </w:pPr>
      <w:r>
        <w:rPr>
          <w:i/>
          <w:iCs/>
          <w:color w:val="1e3a8a"/>
          <w:sz w:val="22"/>
          <w:szCs w:val="22"/>
          <w:rFonts w:ascii="Calibri" w:cs="Calibri" w:eastAsia="Calibri" w:hAnsi="Calibri"/>
        </w:rPr>
        <w:t xml:space="preserve">Art. 25.º do DL 125/2025 — o órgão de gestão é responsável pela aprovação das medidas de gestão de risco de cibersegurança, incluindo as políticas de transferência de informação, e deve garantir os recursos necessários para a sua implementação efetiva.</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Política de transferência segura de informação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2026-03-18T13:34:03.710Z</dcterms:created>
  <dcterms:modified xsi:type="dcterms:W3CDTF">2026-03-18T13:34:03.710Z</dcterms:modified>
</cp:coreProperties>
</file>

<file path=docProps/custom.xml><?xml version="1.0" encoding="utf-8"?>
<Properties xmlns="http://schemas.openxmlformats.org/officeDocument/2006/custom-properties" xmlns:vt="http://schemas.openxmlformats.org/officeDocument/2006/docPropsVTypes"/>
</file>