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Política de resposta a violações de dados</w:t>
      </w:r>
    </w:p>
    <w:p>
      <w:pPr>
        <w:spacing w:after="1200"/>
        <w:jc w:val="center"/>
      </w:pPr>
      <w:r>
        <w:rPr>
          <w:color w:val="374151"/>
          <w:sz w:val="22"/>
          <w:szCs w:val="22"/>
          <w:rFonts w:ascii="Calibri" w:cs="Calibri" w:eastAsia="Calibri" w:hAnsi="Calibri"/>
        </w:rPr>
        <w:t xml:space="preserve">Conformidade com o DL 125/2025 (NIS2) e RGPD</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Objetivo</w:t>
      </w:r>
    </w:p>
    <w:p>
      <w:pPr>
        <w:spacing w:after="160"/>
      </w:pPr>
      <w:r>
        <w:rPr>
          <w:color w:val="374151"/>
          <w:sz w:val="22"/>
          <w:szCs w:val="22"/>
          <w:rFonts w:ascii="Calibri" w:cs="Calibri" w:eastAsia="Calibri" w:hAnsi="Calibri"/>
        </w:rPr>
        <w:t xml:space="preserve">A presente política de resposta a violações de dados estabelece os procedimentos, responsabilidades e prazos para a deteção, contenção, investigação e notificação de violações de dados pessoais e de incidentes de cibersegurança de [Nome da organização], em conformidade com o Decreto-Lei n.º 125/2025 e o Regulamento Geral sobre a Proteção de Dados (RGPD).</w:t>
      </w:r>
    </w:p>
    <w:p>
      <w:pPr>
        <w:spacing w:after="160"/>
      </w:pPr>
      <w:r>
        <w:rPr>
          <w:color w:val="374151"/>
          <w:sz w:val="22"/>
          <w:szCs w:val="22"/>
          <w:rFonts w:ascii="Calibri" w:cs="Calibri" w:eastAsia="Calibri" w:hAnsi="Calibri"/>
        </w:rPr>
        <w:t xml:space="preserve">Uma violação de dados é um incidente de segurança que provoca, de forma acidental ou ilegal, a destruição, a perda, a alteração, a divulgação não autorizada ou o acesso a dados pessoais transmitidos, conservados ou sujeitos a qualquer outro tipo de tratamento. A resposta eficaz a violações de dados requer processos bem definidos, testados e executados por pessoas treinadas.</w:t>
      </w:r>
    </w:p>
    <w:p>
      <w:pPr>
        <w:spacing w:after="160"/>
      </w:pPr>
      <w:r>
        <w:rPr>
          <w:color w:val="374151"/>
          <w:sz w:val="22"/>
          <w:szCs w:val="22"/>
          <w:rFonts w:ascii="Calibri" w:cs="Calibri" w:eastAsia="Calibri" w:hAnsi="Calibri"/>
        </w:rPr>
        <w:t xml:space="preserve">O DL 125/2025 e o RGPD estabelecem obrigações de notificação com prazos específicos que podem ser muito curtos. A preparação antecipada, com procedimentos claros e equipas treinadas, é a única forma de garantir o cumprimento destes prazos em situações de stress e urgência. Esta política define a estrutura necessária para uma resposta organizada e legalmente conforme.</w:t>
      </w:r>
    </w:p>
    <w:p>
      <w:pPr>
        <w:shd w:color="dbeafe" w:val="solid"/>
        <w:spacing w:before="160" w:after="160"/>
        <w:ind w:left="360" w:right="360"/>
      </w:pPr>
      <w:r>
        <w:rPr>
          <w:i/>
          <w:iCs/>
          <w:color w:val="1e3a8a"/>
          <w:sz w:val="22"/>
          <w:szCs w:val="22"/>
          <w:rFonts w:ascii="Calibri" w:cs="Calibri" w:eastAsia="Calibri" w:hAnsi="Calibri"/>
        </w:rPr>
        <w:t xml:space="preserve">Art. 40.º a 44.º do DL 125/2025 - obrigações de notificação de incidentes significativos ao CNCS, com pré-aviso em 24 horas, notificação em 72 horas e relatório final em 30 dias.</w:t>
      </w:r>
    </w:p>
    <w:p>
      <w:pPr>
        <w:pStyle w:val="Heading1"/>
        <w:spacing w:before="400" w:after="200"/>
      </w:pPr>
      <w:r>
        <w:rPr>
          <w:b/>
          <w:bCs/>
          <w:color w:val="1e3a8a"/>
          <w:sz w:val="32"/>
          <w:szCs w:val="32"/>
          <w:rFonts w:ascii="Calibri" w:cs="Calibri" w:eastAsia="Calibri" w:hAnsi="Calibri"/>
        </w:rPr>
        <w:t xml:space="preserve">2. Âmbito de aplicação</w:t>
      </w:r>
    </w:p>
    <w:p>
      <w:pPr>
        <w:spacing w:after="160"/>
      </w:pPr>
      <w:r>
        <w:rPr>
          <w:color w:val="374151"/>
          <w:sz w:val="22"/>
          <w:szCs w:val="22"/>
          <w:rFonts w:ascii="Calibri" w:cs="Calibri" w:eastAsia="Calibri" w:hAnsi="Calibri"/>
        </w:rPr>
        <w:t xml:space="preserve">Esta política aplica-se a:</w:t>
      </w:r>
    </w:p>
    <w:p>
      <w:pPr>
        <w:pStyle w:val="ListParagraph"/>
        <w:numPr>
          <w:ilvl w:val="0"/>
          <w:numId w:val="1"/>
        </w:numPr>
        <w:spacing w:after="80"/>
      </w:pPr>
      <w:r>
        <w:rPr>
          <w:color w:val="374151"/>
          <w:sz w:val="22"/>
          <w:szCs w:val="22"/>
          <w:rFonts w:ascii="Calibri" w:cs="Calibri" w:eastAsia="Calibri" w:hAnsi="Calibri"/>
        </w:rPr>
        <w:t xml:space="preserve">Todos os dados pessoais tratados pela organização, seja como responsável pelo tratamento ou como subcontratante</w:t>
      </w:r>
    </w:p>
    <w:p>
      <w:pPr>
        <w:pStyle w:val="ListParagraph"/>
        <w:numPr>
          <w:ilvl w:val="0"/>
          <w:numId w:val="1"/>
        </w:numPr>
        <w:spacing w:after="80"/>
      </w:pPr>
      <w:r>
        <w:rPr>
          <w:color w:val="374151"/>
          <w:sz w:val="22"/>
          <w:szCs w:val="22"/>
          <w:rFonts w:ascii="Calibri" w:cs="Calibri" w:eastAsia="Calibri" w:hAnsi="Calibri"/>
        </w:rPr>
        <w:t xml:space="preserve">Todos os sistemas, aplicações e processos que tratam dados pessoais ou dados de negócio sensíveis</w:t>
      </w:r>
    </w:p>
    <w:p>
      <w:pPr>
        <w:pStyle w:val="ListParagraph"/>
        <w:numPr>
          <w:ilvl w:val="0"/>
          <w:numId w:val="1"/>
        </w:numPr>
        <w:spacing w:after="80"/>
      </w:pPr>
      <w:r>
        <w:rPr>
          <w:color w:val="374151"/>
          <w:sz w:val="22"/>
          <w:szCs w:val="22"/>
          <w:rFonts w:ascii="Calibri" w:cs="Calibri" w:eastAsia="Calibri" w:hAnsi="Calibri"/>
        </w:rPr>
        <w:t xml:space="preserve">Todos os colaboradores, incluindo trabalhadores temporários e prestadores de serviços</w:t>
      </w:r>
    </w:p>
    <w:p>
      <w:pPr>
        <w:pStyle w:val="ListParagraph"/>
        <w:numPr>
          <w:ilvl w:val="0"/>
          <w:numId w:val="1"/>
        </w:numPr>
        <w:spacing w:after="80"/>
      </w:pPr>
      <w:r>
        <w:rPr>
          <w:color w:val="374151"/>
          <w:sz w:val="22"/>
          <w:szCs w:val="22"/>
          <w:rFonts w:ascii="Calibri" w:cs="Calibri" w:eastAsia="Calibri" w:hAnsi="Calibri"/>
        </w:rPr>
        <w:t xml:space="preserve">Fornecedores que tratem dados pessoais em nome da organização (subcontratantes ao abrigo do RGPD)</w:t>
      </w:r>
    </w:p>
    <w:p>
      <w:pPr>
        <w:pStyle w:val="ListParagraph"/>
        <w:numPr>
          <w:ilvl w:val="0"/>
          <w:numId w:val="1"/>
        </w:numPr>
        <w:spacing w:after="80"/>
      </w:pPr>
      <w:r>
        <w:rPr>
          <w:color w:val="374151"/>
          <w:sz w:val="22"/>
          <w:szCs w:val="22"/>
          <w:rFonts w:ascii="Calibri" w:cs="Calibri" w:eastAsia="Calibri" w:hAnsi="Calibri"/>
        </w:rPr>
        <w:t xml:space="preserve">Qualquer violação que afete dados pessoais ou sistemas críticos da organização</w:t>
      </w:r>
    </w:p>
    <w:p>
      <w:pPr>
        <w:spacing w:after="160"/>
      </w:pPr>
      <w:r>
        <w:rPr>
          <w:color w:val="374151"/>
          <w:sz w:val="22"/>
          <w:szCs w:val="22"/>
          <w:rFonts w:ascii="Calibri" w:cs="Calibri" w:eastAsia="Calibri" w:hAnsi="Calibri"/>
        </w:rPr>
        <w:t xml:space="preserve">A política distingue dois regimes legais com obrigações sobrepostas: o DL 125/2025 que obriga à notificação de incidentes significativos ao CNCS (Centro Nacional de Cibersegurança), e o RGPD que obriga à notificação de violações de dados pessoais à CNPD (Comissão Nacional de Proteção de Dados). Ambos os regimes podem ser acionados pelo mesmo incidente.</w:t>
      </w:r>
    </w:p>
    <w:p>
      <w:r>
        <w:br w:type="page"/>
      </w:r>
    </w:p>
    <w:p>
      <w:pPr>
        <w:pStyle w:val="Heading1"/>
        <w:spacing w:before="400" w:after="200"/>
      </w:pPr>
      <w:r>
        <w:rPr>
          <w:b/>
          <w:bCs/>
          <w:color w:val="1e3a8a"/>
          <w:sz w:val="32"/>
          <w:szCs w:val="32"/>
          <w:rFonts w:ascii="Calibri" w:cs="Calibri" w:eastAsia="Calibri" w:hAnsi="Calibri"/>
        </w:rPr>
        <w:t xml:space="preserve">3. Definição de violação de dados</w:t>
      </w:r>
    </w:p>
    <w:p>
      <w:pPr>
        <w:spacing w:after="160"/>
      </w:pPr>
      <w:r>
        <w:rPr>
          <w:color w:val="374151"/>
          <w:sz w:val="22"/>
          <w:szCs w:val="22"/>
          <w:rFonts w:ascii="Calibri" w:cs="Calibri" w:eastAsia="Calibri" w:hAnsi="Calibri"/>
        </w:rPr>
        <w:t xml:space="preserve">Para efeitos desta política, entende-se por violação de dados qualquer incidente de segurança que resulte, acidental ou ilegalmente, na destruição, perda, alteração, divulgação não autorizada ou acesso não autorizado a dados pessoais ou a dados de negócio sensíveis da organização.</w:t>
      </w:r>
    </w:p>
    <w:p>
      <w:pPr>
        <w:spacing w:after="160"/>
      </w:pPr>
      <w:r>
        <w:rPr>
          <w:color w:val="374151"/>
          <w:sz w:val="22"/>
          <w:szCs w:val="22"/>
          <w:rFonts w:ascii="Calibri" w:cs="Calibri" w:eastAsia="Calibri" w:hAnsi="Calibri"/>
        </w:rPr>
        <w:t xml:space="preserve">Os tipos de violações de dados incluem:</w:t>
      </w:r>
    </w:p>
    <w:p>
      <w:pPr>
        <w:pStyle w:val="ListParagraph"/>
        <w:numPr>
          <w:ilvl w:val="0"/>
          <w:numId w:val="1"/>
        </w:numPr>
        <w:spacing w:after="80"/>
      </w:pPr>
      <w:r>
        <w:rPr>
          <w:color w:val="374151"/>
          <w:sz w:val="22"/>
          <w:szCs w:val="22"/>
          <w:rFonts w:ascii="Calibri" w:cs="Calibri" w:eastAsia="Calibri" w:hAnsi="Calibri"/>
        </w:rPr>
        <w:t xml:space="preserve">Violação de confidencialidade: divulgação ou acesso não autorizado a dados (ex: phishing bem-sucedido, fuga de dados)</w:t>
      </w:r>
    </w:p>
    <w:p>
      <w:pPr>
        <w:pStyle w:val="ListParagraph"/>
        <w:numPr>
          <w:ilvl w:val="0"/>
          <w:numId w:val="1"/>
        </w:numPr>
        <w:spacing w:after="80"/>
      </w:pPr>
      <w:r>
        <w:rPr>
          <w:color w:val="374151"/>
          <w:sz w:val="22"/>
          <w:szCs w:val="22"/>
          <w:rFonts w:ascii="Calibri" w:cs="Calibri" w:eastAsia="Calibri" w:hAnsi="Calibri"/>
        </w:rPr>
        <w:t xml:space="preserve">Violação de integridade: alteração não autorizada ou acidental de dados (ex: ransomware que corrompe dados)</w:t>
      </w:r>
    </w:p>
    <w:p>
      <w:pPr>
        <w:pStyle w:val="ListParagraph"/>
        <w:numPr>
          <w:ilvl w:val="0"/>
          <w:numId w:val="1"/>
        </w:numPr>
        <w:spacing w:after="80"/>
      </w:pPr>
      <w:r>
        <w:rPr>
          <w:color w:val="374151"/>
          <w:sz w:val="22"/>
          <w:szCs w:val="22"/>
          <w:rFonts w:ascii="Calibri" w:cs="Calibri" w:eastAsia="Calibri" w:hAnsi="Calibri"/>
        </w:rPr>
        <w:t xml:space="preserve">Violação de disponibilidade: perda ou destruição não autorizada ou acidental de dados (ex: eliminação acidental, falha sem backup)</w:t>
      </w:r>
    </w:p>
    <w:p>
      <w:pPr>
        <w:pStyle w:val="ListParagraph"/>
        <w:numPr>
          <w:ilvl w:val="0"/>
          <w:numId w:val="1"/>
        </w:numPr>
        <w:spacing w:after="80"/>
      </w:pPr>
      <w:r>
        <w:rPr>
          <w:color w:val="374151"/>
          <w:sz w:val="22"/>
          <w:szCs w:val="22"/>
          <w:rFonts w:ascii="Calibri" w:cs="Calibri" w:eastAsia="Calibri" w:hAnsi="Calibri"/>
        </w:rPr>
        <w:t xml:space="preserve">Violação interna: acesso indevido por colaborador (ex: acesso a dados de clientes sem justificação)</w:t>
      </w:r>
    </w:p>
    <w:p>
      <w:pPr>
        <w:pStyle w:val="ListParagraph"/>
        <w:numPr>
          <w:ilvl w:val="0"/>
          <w:numId w:val="1"/>
        </w:numPr>
        <w:spacing w:after="80"/>
      </w:pPr>
      <w:r>
        <w:rPr>
          <w:color w:val="374151"/>
          <w:sz w:val="22"/>
          <w:szCs w:val="22"/>
          <w:rFonts w:ascii="Calibri" w:cs="Calibri" w:eastAsia="Calibri" w:hAnsi="Calibri"/>
        </w:rPr>
        <w:t xml:space="preserve">Violação por terceiros: acesso por fornecedor ou parceiro além do autorizado</w:t>
      </w:r>
    </w:p>
    <w:p>
      <w:pPr>
        <w:pStyle w:val="ListParagraph"/>
        <w:numPr>
          <w:ilvl w:val="0"/>
          <w:numId w:val="1"/>
        </w:numPr>
        <w:spacing w:after="80"/>
      </w:pPr>
      <w:r>
        <w:rPr>
          <w:color w:val="374151"/>
          <w:sz w:val="22"/>
          <w:szCs w:val="22"/>
          <w:rFonts w:ascii="Calibri" w:cs="Calibri" w:eastAsia="Calibri" w:hAnsi="Calibri"/>
        </w:rPr>
        <w:t xml:space="preserve">Violação física: roubo ou perda de dispositivos com dados não encriptados</w:t>
      </w:r>
    </w:p>
    <w:p>
      <w:pPr>
        <w:spacing w:after="160"/>
      </w:pPr>
      <w:r>
        <w:rPr>
          <w:color w:val="374151"/>
          <w:sz w:val="22"/>
          <w:szCs w:val="22"/>
          <w:rFonts w:ascii="Calibri" w:cs="Calibri" w:eastAsia="Calibri" w:hAnsi="Calibri"/>
        </w:rPr>
        <w:t xml:space="preserve">Nem toda a violação de dados implica obrigação de notificação às autoridades. A decisão de notificar depende da avaliação do risco para os direitos e liberdades das pessoas singulares afetadas (RGPD) e da gravidade do incidente (DL 125/2025). No entanto, todas as violações devem ser investigadas e documentadas internamente.</w:t>
      </w:r>
    </w:p>
    <w:p>
      <w:pPr>
        <w:pStyle w:val="Heading1"/>
        <w:spacing w:before="400" w:after="200"/>
      </w:pPr>
      <w:r>
        <w:rPr>
          <w:b/>
          <w:bCs/>
          <w:color w:val="1e3a8a"/>
          <w:sz w:val="32"/>
          <w:szCs w:val="32"/>
          <w:rFonts w:ascii="Calibri" w:cs="Calibri" w:eastAsia="Calibri" w:hAnsi="Calibri"/>
        </w:rPr>
        <w:t xml:space="preserve">4. Deteção e identificação de violações</w:t>
      </w:r>
    </w:p>
    <w:p>
      <w:pPr>
        <w:spacing w:after="160"/>
      </w:pPr>
      <w:r>
        <w:rPr>
          <w:color w:val="374151"/>
          <w:sz w:val="22"/>
          <w:szCs w:val="22"/>
          <w:rFonts w:ascii="Calibri" w:cs="Calibri" w:eastAsia="Calibri" w:hAnsi="Calibri"/>
        </w:rPr>
        <w:t xml:space="preserve">A deteção precoce de violações de dados é crítica para limitar o seu impacto e cumprir os prazos de notificação legais. A organização implementa múltiplas camadas de deteção, combinando controlos técnicos automatizados e vigilância humana.</w:t>
      </w:r>
    </w:p>
    <w:p>
      <w:pPr>
        <w:spacing w:after="160"/>
      </w:pPr>
      <w:r>
        <w:rPr>
          <w:color w:val="374151"/>
          <w:sz w:val="22"/>
          <w:szCs w:val="22"/>
          <w:rFonts w:ascii="Calibri" w:cs="Calibri" w:eastAsia="Calibri" w:hAnsi="Calibri"/>
        </w:rPr>
        <w:t xml:space="preserve">Os mecanismos de deteção implementados incluem:</w:t>
      </w:r>
    </w:p>
    <w:p>
      <w:pPr>
        <w:pStyle w:val="ListParagraph"/>
        <w:numPr>
          <w:ilvl w:val="0"/>
          <w:numId w:val="1"/>
        </w:numPr>
        <w:spacing w:after="80"/>
      </w:pPr>
      <w:r>
        <w:rPr>
          <w:color w:val="374151"/>
          <w:sz w:val="22"/>
          <w:szCs w:val="22"/>
          <w:rFonts w:ascii="Calibri" w:cs="Calibri" w:eastAsia="Calibri" w:hAnsi="Calibri"/>
        </w:rPr>
        <w:t xml:space="preserve">Sistema de Gestão de Informações e Eventos de Segurança (SIEM) com regras de correlação para deteção de anomalias</w:t>
      </w:r>
    </w:p>
    <w:p>
      <w:pPr>
        <w:pStyle w:val="ListParagraph"/>
        <w:numPr>
          <w:ilvl w:val="0"/>
          <w:numId w:val="1"/>
        </w:numPr>
        <w:spacing w:after="80"/>
      </w:pPr>
      <w:r>
        <w:rPr>
          <w:color w:val="374151"/>
          <w:sz w:val="22"/>
          <w:szCs w:val="22"/>
          <w:rFonts w:ascii="Calibri" w:cs="Calibri" w:eastAsia="Calibri" w:hAnsi="Calibri"/>
        </w:rPr>
        <w:t xml:space="preserve">Solução de Deteção e Resposta em Endpoint (EDR) em todos os dispositivos corporativos</w:t>
      </w:r>
    </w:p>
    <w:p>
      <w:pPr>
        <w:pStyle w:val="ListParagraph"/>
        <w:numPr>
          <w:ilvl w:val="0"/>
          <w:numId w:val="1"/>
        </w:numPr>
        <w:spacing w:after="80"/>
      </w:pPr>
      <w:r>
        <w:rPr>
          <w:color w:val="374151"/>
          <w:sz w:val="22"/>
          <w:szCs w:val="22"/>
          <w:rFonts w:ascii="Calibri" w:cs="Calibri" w:eastAsia="Calibri" w:hAnsi="Calibri"/>
        </w:rPr>
        <w:t xml:space="preserve">Monitorização de tráfego de rede para deteção de exfiltração de dados</w:t>
      </w:r>
    </w:p>
    <w:p>
      <w:pPr>
        <w:pStyle w:val="ListParagraph"/>
        <w:numPr>
          <w:ilvl w:val="0"/>
          <w:numId w:val="1"/>
        </w:numPr>
        <w:spacing w:after="80"/>
      </w:pPr>
      <w:r>
        <w:rPr>
          <w:color w:val="374151"/>
          <w:sz w:val="22"/>
          <w:szCs w:val="22"/>
          <w:rFonts w:ascii="Calibri" w:cs="Calibri" w:eastAsia="Calibri" w:hAnsi="Calibri"/>
        </w:rPr>
        <w:t xml:space="preserve">Alertas de autenticações anómalas e acessos fora do padrão habitual</w:t>
      </w:r>
    </w:p>
    <w:p>
      <w:pPr>
        <w:pStyle w:val="ListParagraph"/>
        <w:numPr>
          <w:ilvl w:val="0"/>
          <w:numId w:val="1"/>
        </w:numPr>
        <w:spacing w:after="80"/>
      </w:pPr>
      <w:r>
        <w:rPr>
          <w:color w:val="374151"/>
          <w:sz w:val="22"/>
          <w:szCs w:val="22"/>
          <w:rFonts w:ascii="Calibri" w:cs="Calibri" w:eastAsia="Calibri" w:hAnsi="Calibri"/>
        </w:rPr>
        <w:t xml:space="preserve">Monitorização de integridade de ficheiros em sistemas críticos</w:t>
      </w:r>
    </w:p>
    <w:p>
      <w:pPr>
        <w:pStyle w:val="ListParagraph"/>
        <w:numPr>
          <w:ilvl w:val="0"/>
          <w:numId w:val="1"/>
        </w:numPr>
        <w:spacing w:after="80"/>
      </w:pPr>
      <w:r>
        <w:rPr>
          <w:color w:val="374151"/>
          <w:sz w:val="22"/>
          <w:szCs w:val="22"/>
          <w:rFonts w:ascii="Calibri" w:cs="Calibri" w:eastAsia="Calibri" w:hAnsi="Calibri"/>
        </w:rPr>
        <w:t xml:space="preserve">Reportes de colaboradores que detetem atividade suspeita ou incidentes</w:t>
      </w:r>
    </w:p>
    <w:p>
      <w:pPr>
        <w:pStyle w:val="ListParagraph"/>
        <w:numPr>
          <w:ilvl w:val="0"/>
          <w:numId w:val="1"/>
        </w:numPr>
        <w:spacing w:after="80"/>
      </w:pPr>
      <w:r>
        <w:rPr>
          <w:color w:val="374151"/>
          <w:sz w:val="22"/>
          <w:szCs w:val="22"/>
          <w:rFonts w:ascii="Calibri" w:cs="Calibri" w:eastAsia="Calibri" w:hAnsi="Calibri"/>
        </w:rPr>
        <w:t xml:space="preserve">Alertas de fornecedores e parceiros sobre incidentes que possam afetar a organização</w:t>
      </w:r>
    </w:p>
    <w:p>
      <w:pPr>
        <w:pStyle w:val="ListParagraph"/>
        <w:numPr>
          <w:ilvl w:val="0"/>
          <w:numId w:val="1"/>
        </w:numPr>
        <w:spacing w:after="80"/>
      </w:pPr>
      <w:r>
        <w:rPr>
          <w:color w:val="374151"/>
          <w:sz w:val="22"/>
          <w:szCs w:val="22"/>
          <w:rFonts w:ascii="Calibri" w:cs="Calibri" w:eastAsia="Calibri" w:hAnsi="Calibri"/>
        </w:rPr>
        <w:t xml:space="preserve">Monitorização de bases de dados de credenciais comprometidas</w:t>
      </w:r>
    </w:p>
    <w:p>
      <w:pPr>
        <w:spacing w:after="160"/>
      </w:pPr>
      <w:r>
        <w:rPr>
          <w:color w:val="374151"/>
          <w:sz w:val="22"/>
          <w:szCs w:val="22"/>
          <w:rFonts w:ascii="Calibri" w:cs="Calibri" w:eastAsia="Calibri" w:hAnsi="Calibri"/>
        </w:rPr>
        <w:t xml:space="preserve">Qualquer colaborador que suspeite ou detete uma potencial violação de dados deve reportá-la imediatamente ao responsável de cibersegurança ou ao ponto de contacto de segurança, sem demora e independentemente da hora do dia. O prazo legal começa a contar quando a organização "toma conhecimento" da violação, pelo que atrasos internos de reporte têm impacto direto no cumprimento legal.</w:t>
      </w:r>
    </w:p>
    <w:p>
      <w:r>
        <w:br w:type="page"/>
      </w:r>
    </w:p>
    <w:p>
      <w:pPr>
        <w:pStyle w:val="Heading1"/>
        <w:spacing w:before="400" w:after="200"/>
      </w:pPr>
      <w:r>
        <w:rPr>
          <w:b/>
          <w:bCs/>
          <w:color w:val="1e3a8a"/>
          <w:sz w:val="32"/>
          <w:szCs w:val="32"/>
          <w:rFonts w:ascii="Calibri" w:cs="Calibri" w:eastAsia="Calibri" w:hAnsi="Calibri"/>
        </w:rPr>
        <w:t xml:space="preserve">5. Contenção imediata</w:t>
      </w:r>
    </w:p>
    <w:p>
      <w:pPr>
        <w:spacing w:after="160"/>
      </w:pPr>
      <w:r>
        <w:rPr>
          <w:color w:val="374151"/>
          <w:sz w:val="22"/>
          <w:szCs w:val="22"/>
          <w:rFonts w:ascii="Calibri" w:cs="Calibri" w:eastAsia="Calibri" w:hAnsi="Calibri"/>
        </w:rPr>
        <w:t xml:space="preserve">As primeiras horas após a identificação de uma violação de dados são críticas para limitar o seu impacto. A contenção imediata tem como objetivo interromper a violação em curso e prevenir a propagação do incidente, sem comprometer evidências forenses que possam ser necessárias para a investigação.</w:t>
      </w:r>
    </w:p>
    <w:p>
      <w:pPr>
        <w:spacing w:after="160"/>
      </w:pPr>
      <w:r>
        <w:rPr>
          <w:color w:val="374151"/>
          <w:sz w:val="22"/>
          <w:szCs w:val="22"/>
          <w:rFonts w:ascii="Calibri" w:cs="Calibri" w:eastAsia="Calibri" w:hAnsi="Calibri"/>
        </w:rPr>
        <w:t xml:space="preserve">As ações de contenção imediata incluem, conforme aplicável:</w:t>
      </w:r>
    </w:p>
    <w:p>
      <w:pPr>
        <w:pStyle w:val="ListParagraph"/>
        <w:numPr>
          <w:ilvl w:val="0"/>
          <w:numId w:val="1"/>
        </w:numPr>
        <w:spacing w:after="80"/>
      </w:pPr>
      <w:r>
        <w:rPr>
          <w:color w:val="374151"/>
          <w:sz w:val="22"/>
          <w:szCs w:val="22"/>
          <w:rFonts w:ascii="Calibri" w:cs="Calibri" w:eastAsia="Calibri" w:hAnsi="Calibri"/>
        </w:rPr>
        <w:t xml:space="preserve">Isolamento de sistemas afetados da rede, impedindo comunicação com outros sistemas</w:t>
      </w:r>
    </w:p>
    <w:p>
      <w:pPr>
        <w:pStyle w:val="ListParagraph"/>
        <w:numPr>
          <w:ilvl w:val="0"/>
          <w:numId w:val="1"/>
        </w:numPr>
        <w:spacing w:after="80"/>
      </w:pPr>
      <w:r>
        <w:rPr>
          <w:color w:val="374151"/>
          <w:sz w:val="22"/>
          <w:szCs w:val="22"/>
          <w:rFonts w:ascii="Calibri" w:cs="Calibri" w:eastAsia="Calibri" w:hAnsi="Calibri"/>
        </w:rPr>
        <w:t xml:space="preserve">Revogação de credenciais comprometidas e bloqueio de contas suspeitas</w:t>
      </w:r>
    </w:p>
    <w:p>
      <w:pPr>
        <w:pStyle w:val="ListParagraph"/>
        <w:numPr>
          <w:ilvl w:val="0"/>
          <w:numId w:val="1"/>
        </w:numPr>
        <w:spacing w:after="80"/>
      </w:pPr>
      <w:r>
        <w:rPr>
          <w:color w:val="374151"/>
          <w:sz w:val="22"/>
          <w:szCs w:val="22"/>
          <w:rFonts w:ascii="Calibri" w:cs="Calibri" w:eastAsia="Calibri" w:hAnsi="Calibri"/>
        </w:rPr>
        <w:t xml:space="preserve">Bloqueio de endereços IP e domínios maliciosos identificados</w:t>
      </w:r>
    </w:p>
    <w:p>
      <w:pPr>
        <w:pStyle w:val="ListParagraph"/>
        <w:numPr>
          <w:ilvl w:val="0"/>
          <w:numId w:val="1"/>
        </w:numPr>
        <w:spacing w:after="80"/>
      </w:pPr>
      <w:r>
        <w:rPr>
          <w:color w:val="374151"/>
          <w:sz w:val="22"/>
          <w:szCs w:val="22"/>
          <w:rFonts w:ascii="Calibri" w:cs="Calibri" w:eastAsia="Calibri" w:hAnsi="Calibri"/>
        </w:rPr>
        <w:t xml:space="preserve">Suspensão temporária de serviços ou funcionalidades afetadas quando necessário</w:t>
      </w:r>
    </w:p>
    <w:p>
      <w:pPr>
        <w:pStyle w:val="ListParagraph"/>
        <w:numPr>
          <w:ilvl w:val="0"/>
          <w:numId w:val="1"/>
        </w:numPr>
        <w:spacing w:after="80"/>
      </w:pPr>
      <w:r>
        <w:rPr>
          <w:color w:val="374151"/>
          <w:sz w:val="22"/>
          <w:szCs w:val="22"/>
          <w:rFonts w:ascii="Calibri" w:cs="Calibri" w:eastAsia="Calibri" w:hAnsi="Calibri"/>
        </w:rPr>
        <w:t xml:space="preserve">Preservação de evidências: captura de logs, snapshots de sistemas, preservação de memória</w:t>
      </w:r>
    </w:p>
    <w:p>
      <w:pPr>
        <w:pStyle w:val="ListParagraph"/>
        <w:numPr>
          <w:ilvl w:val="0"/>
          <w:numId w:val="1"/>
        </w:numPr>
        <w:spacing w:after="80"/>
      </w:pPr>
      <w:r>
        <w:rPr>
          <w:color w:val="374151"/>
          <w:sz w:val="22"/>
          <w:szCs w:val="22"/>
          <w:rFonts w:ascii="Calibri" w:cs="Calibri" w:eastAsia="Calibri" w:hAnsi="Calibri"/>
        </w:rPr>
        <w:t xml:space="preserve">Ativação da equipa de resposta a incidentes e do plano de resposta</w:t>
      </w:r>
    </w:p>
    <w:p>
      <w:pPr>
        <w:pStyle w:val="ListParagraph"/>
        <w:numPr>
          <w:ilvl w:val="0"/>
          <w:numId w:val="1"/>
        </w:numPr>
        <w:spacing w:after="80"/>
      </w:pPr>
      <w:r>
        <w:rPr>
          <w:color w:val="374151"/>
          <w:sz w:val="22"/>
          <w:szCs w:val="22"/>
          <w:rFonts w:ascii="Calibri" w:cs="Calibri" w:eastAsia="Calibri" w:hAnsi="Calibri"/>
        </w:rPr>
        <w:t xml:space="preserve">Notificação interna imediata ao órgão de gestão e ao responsável jurídico</w:t>
      </w:r>
    </w:p>
    <w:p>
      <w:pPr>
        <w:spacing w:after="160"/>
      </w:pPr>
      <w:r>
        <w:rPr>
          <w:color w:val="374151"/>
          <w:sz w:val="22"/>
          <w:szCs w:val="22"/>
          <w:rFonts w:ascii="Calibri" w:cs="Calibri" w:eastAsia="Calibri" w:hAnsi="Calibri"/>
        </w:rPr>
        <w:t xml:space="preserve">As ações de contenção devem equilibrar a urgência de interromper a violação com a necessidade de preservar evidências forenses para a investigação. A decisão de desligar sistemas afetados deve ser tomada pelo responsável de cibersegurança após avaliação do impacto.</w:t>
      </w:r>
    </w:p>
    <w:p>
      <w:pPr>
        <w:pStyle w:val="Heading1"/>
        <w:spacing w:before="400" w:after="200"/>
      </w:pPr>
      <w:r>
        <w:rPr>
          <w:b/>
          <w:bCs/>
          <w:color w:val="1e3a8a"/>
          <w:sz w:val="32"/>
          <w:szCs w:val="32"/>
          <w:rFonts w:ascii="Calibri" w:cs="Calibri" w:eastAsia="Calibri" w:hAnsi="Calibri"/>
        </w:rPr>
        <w:t xml:space="preserve">6. Avaliação de impacto e gravidade</w:t>
      </w:r>
    </w:p>
    <w:p>
      <w:pPr>
        <w:spacing w:after="160"/>
      </w:pPr>
      <w:r>
        <w:rPr>
          <w:color w:val="374151"/>
          <w:sz w:val="22"/>
          <w:szCs w:val="22"/>
          <w:rFonts w:ascii="Calibri" w:cs="Calibri" w:eastAsia="Calibri" w:hAnsi="Calibri"/>
        </w:rPr>
        <w:t xml:space="preserve">Após a contenção inicial, a organização avalia o impacto e a gravidade da violação. Esta avaliação determina as obrigações de notificação aplicáveis, as medidas de remediação necessárias e a comunicação a efetuar com as partes afetadas.</w:t>
      </w:r>
    </w:p>
    <w:p>
      <w:pPr>
        <w:spacing w:after="160"/>
      </w:pPr>
      <w:r>
        <w:rPr>
          <w:color w:val="374151"/>
          <w:sz w:val="22"/>
          <w:szCs w:val="22"/>
          <w:rFonts w:ascii="Calibri" w:cs="Calibri" w:eastAsia="Calibri" w:hAnsi="Calibri"/>
        </w:rPr>
        <w:t xml:space="preserve">Os fatores a considerar na avaliação de impacto são:</w:t>
      </w:r>
    </w:p>
    <w:p>
      <w:pPr>
        <w:pStyle w:val="ListParagraph"/>
        <w:numPr>
          <w:ilvl w:val="0"/>
          <w:numId w:val="1"/>
        </w:numPr>
        <w:spacing w:after="80"/>
      </w:pPr>
      <w:r>
        <w:rPr>
          <w:color w:val="374151"/>
          <w:sz w:val="22"/>
          <w:szCs w:val="22"/>
          <w:rFonts w:ascii="Calibri" w:cs="Calibri" w:eastAsia="Calibri" w:hAnsi="Calibri"/>
        </w:rPr>
        <w:t xml:space="preserve">Natureza dos dados afetados: pessoais, categorias especiais, financeiros, operacionais, segurança</w:t>
      </w:r>
    </w:p>
    <w:p>
      <w:pPr>
        <w:pStyle w:val="ListParagraph"/>
        <w:numPr>
          <w:ilvl w:val="0"/>
          <w:numId w:val="1"/>
        </w:numPr>
        <w:spacing w:after="80"/>
      </w:pPr>
      <w:r>
        <w:rPr>
          <w:color w:val="374151"/>
          <w:sz w:val="22"/>
          <w:szCs w:val="22"/>
          <w:rFonts w:ascii="Calibri" w:cs="Calibri" w:eastAsia="Calibri" w:hAnsi="Calibri"/>
        </w:rPr>
        <w:t xml:space="preserve">Volume de dados: número de registos e número de pessoas afetadas</w:t>
      </w:r>
    </w:p>
    <w:p>
      <w:pPr>
        <w:pStyle w:val="ListParagraph"/>
        <w:numPr>
          <w:ilvl w:val="0"/>
          <w:numId w:val="1"/>
        </w:numPr>
        <w:spacing w:after="80"/>
      </w:pPr>
      <w:r>
        <w:rPr>
          <w:color w:val="374151"/>
          <w:sz w:val="22"/>
          <w:szCs w:val="22"/>
          <w:rFonts w:ascii="Calibri" w:cs="Calibri" w:eastAsia="Calibri" w:hAnsi="Calibri"/>
        </w:rPr>
        <w:t xml:space="preserve">Tipo de violação: confidencialidade, integridade ou disponibilidade</w:t>
      </w:r>
    </w:p>
    <w:p>
      <w:pPr>
        <w:pStyle w:val="ListParagraph"/>
        <w:numPr>
          <w:ilvl w:val="0"/>
          <w:numId w:val="1"/>
        </w:numPr>
        <w:spacing w:after="80"/>
      </w:pPr>
      <w:r>
        <w:rPr>
          <w:color w:val="374151"/>
          <w:sz w:val="22"/>
          <w:szCs w:val="22"/>
          <w:rFonts w:ascii="Calibri" w:cs="Calibri" w:eastAsia="Calibri" w:hAnsi="Calibri"/>
        </w:rPr>
        <w:t xml:space="preserve">Reversibilidade do impacto: se os dados podem ser recuperados ou o acesso pode ser revertido</w:t>
      </w:r>
    </w:p>
    <w:p>
      <w:pPr>
        <w:pStyle w:val="ListParagraph"/>
        <w:numPr>
          <w:ilvl w:val="0"/>
          <w:numId w:val="1"/>
        </w:numPr>
        <w:spacing w:after="80"/>
      </w:pPr>
      <w:r>
        <w:rPr>
          <w:color w:val="374151"/>
          <w:sz w:val="22"/>
          <w:szCs w:val="22"/>
          <w:rFonts w:ascii="Calibri" w:cs="Calibri" w:eastAsia="Calibri" w:hAnsi="Calibri"/>
        </w:rPr>
        <w:t xml:space="preserve">Probabilidade de utilização maliciosa dos dados expostos</w:t>
      </w:r>
    </w:p>
    <w:p>
      <w:pPr>
        <w:pStyle w:val="ListParagraph"/>
        <w:numPr>
          <w:ilvl w:val="0"/>
          <w:numId w:val="1"/>
        </w:numPr>
        <w:spacing w:after="80"/>
      </w:pPr>
      <w:r>
        <w:rPr>
          <w:color w:val="374151"/>
          <w:sz w:val="22"/>
          <w:szCs w:val="22"/>
          <w:rFonts w:ascii="Calibri" w:cs="Calibri" w:eastAsia="Calibri" w:hAnsi="Calibri"/>
        </w:rPr>
        <w:t xml:space="preserve">Vulnerabilidade das pessoas afetadas: menores, pessoas com deficiência, clientes vulneráveis</w:t>
      </w:r>
    </w:p>
    <w:p>
      <w:pPr>
        <w:pStyle w:val="ListParagraph"/>
        <w:numPr>
          <w:ilvl w:val="0"/>
          <w:numId w:val="1"/>
        </w:numPr>
        <w:spacing w:after="80"/>
      </w:pPr>
      <w:r>
        <w:rPr>
          <w:color w:val="374151"/>
          <w:sz w:val="22"/>
          <w:szCs w:val="22"/>
          <w:rFonts w:ascii="Calibri" w:cs="Calibri" w:eastAsia="Calibri" w:hAnsi="Calibri"/>
        </w:rPr>
        <w:t xml:space="preserve">Impacto operacional na prestação de serviços da organização</w:t>
      </w:r>
    </w:p>
    <w:p>
      <w:pPr>
        <w:spacing w:after="160"/>
      </w:pPr>
      <w:r>
        <w:rPr>
          <w:color w:val="374151"/>
          <w:sz w:val="22"/>
          <w:szCs w:val="22"/>
          <w:rFonts w:ascii="Calibri" w:cs="Calibri" w:eastAsia="Calibri" w:hAnsi="Calibri"/>
        </w:rPr>
        <w:t xml:space="preserve">A avaliação de impacto deve ser documentada e atualizada à medida que surgem novos factos. O resultado da avaliação determina o nível de notificação necessário: apenas registo interno, notificação ao CNCS, notificação à CNPD, comunicação aos titulares de dados, ou uma combinação destas.</w:t>
      </w:r>
    </w:p>
    <w:p>
      <w:r>
        <w:br w:type="page"/>
      </w:r>
    </w:p>
    <w:p>
      <w:pPr>
        <w:pStyle w:val="Heading1"/>
        <w:spacing w:before="400" w:after="200"/>
      </w:pPr>
      <w:r>
        <w:rPr>
          <w:b/>
          <w:bCs/>
          <w:color w:val="1e3a8a"/>
          <w:sz w:val="32"/>
          <w:szCs w:val="32"/>
          <w:rFonts w:ascii="Calibri" w:cs="Calibri" w:eastAsia="Calibri" w:hAnsi="Calibri"/>
        </w:rPr>
        <w:t xml:space="preserve">7. Notificação ao CNCS (DL 125/2025)</w:t>
      </w:r>
    </w:p>
    <w:p>
      <w:pPr>
        <w:spacing w:after="160"/>
      </w:pPr>
      <w:r>
        <w:rPr>
          <w:color w:val="374151"/>
          <w:sz w:val="22"/>
          <w:szCs w:val="22"/>
          <w:rFonts w:ascii="Calibri" w:cs="Calibri" w:eastAsia="Calibri" w:hAnsi="Calibri"/>
        </w:rPr>
        <w:t xml:space="preserve">O DL 125/2025 estabelece obrigações de notificação para as entidades abrangidas quando ocorrem incidentes significativos que afetem a prestação dos seus serviços. A notificação é dirigida ao Centro Nacional de Cibersegurança (CNCS) nos prazos estabelecidos no Art. 40.º.</w:t>
      </w:r>
    </w:p>
    <w:p>
      <w:pPr>
        <w:spacing w:after="160"/>
      </w:pPr>
      <w:r>
        <w:rPr>
          <w:color w:val="374151"/>
          <w:sz w:val="22"/>
          <w:szCs w:val="22"/>
          <w:rFonts w:ascii="Calibri" w:cs="Calibri" w:eastAsia="Calibri" w:hAnsi="Calibri"/>
        </w:rPr>
        <w:t xml:space="preserve">Um incidente é considerado significativo quando: causa interrupção significativa na prestação de serviços, afeta um número elevado de utilizadores ou áreas geográficas, provoca perdas financeiras significativas, ou afeta outras entidades ou setores criando um efeito em cascata.</w:t>
      </w:r>
    </w:p>
    <w:p>
      <w:pPr>
        <w:spacing w:after="160"/>
      </w:pPr>
      <w:r>
        <w:rPr>
          <w:color w:val="374151"/>
          <w:sz w:val="22"/>
          <w:szCs w:val="22"/>
          <w:rFonts w:ascii="Calibri" w:cs="Calibri" w:eastAsia="Calibri" w:hAnsi="Calibri"/>
        </w:rPr>
        <w:t xml:space="preserve">Os prazos de notificação ao CNCS são:</w:t>
      </w:r>
    </w:p>
    <w:p>
      <w:pPr>
        <w:pStyle w:val="ListParagraph"/>
        <w:numPr>
          <w:ilvl w:val="0"/>
          <w:numId w:val="1"/>
        </w:numPr>
        <w:spacing w:after="80"/>
      </w:pPr>
      <w:r>
        <w:rPr>
          <w:color w:val="374151"/>
          <w:sz w:val="22"/>
          <w:szCs w:val="22"/>
          <w:rFonts w:ascii="Calibri" w:cs="Calibri" w:eastAsia="Calibri" w:hAnsi="Calibri"/>
        </w:rPr>
        <w:t xml:space="preserve">Pré-aviso (24 horas): no prazo de 24 horas após tomada de conhecimento do incidente significativo, com indicação de natureza, impacto estimado e medidas de mitigação iniciais</w:t>
      </w:r>
    </w:p>
    <w:p>
      <w:pPr>
        <w:pStyle w:val="ListParagraph"/>
        <w:numPr>
          <w:ilvl w:val="0"/>
          <w:numId w:val="1"/>
        </w:numPr>
        <w:spacing w:after="80"/>
      </w:pPr>
      <w:r>
        <w:rPr>
          <w:color w:val="374151"/>
          <w:sz w:val="22"/>
          <w:szCs w:val="22"/>
          <w:rFonts w:ascii="Calibri" w:cs="Calibri" w:eastAsia="Calibri" w:hAnsi="Calibri"/>
        </w:rPr>
        <w:t xml:space="preserve">Notificação inicial (72 horas): no prazo de 72 horas, com avaliação mais completa, gravidade, indicadores de compromisso (IOCs) e medidas adotadas</w:t>
      </w:r>
    </w:p>
    <w:p>
      <w:pPr>
        <w:pStyle w:val="ListParagraph"/>
        <w:numPr>
          <w:ilvl w:val="0"/>
          <w:numId w:val="1"/>
        </w:numPr>
        <w:spacing w:after="80"/>
      </w:pPr>
      <w:r>
        <w:rPr>
          <w:color w:val="374151"/>
          <w:sz w:val="22"/>
          <w:szCs w:val="22"/>
          <w:rFonts w:ascii="Calibri" w:cs="Calibri" w:eastAsia="Calibri" w:hAnsi="Calibri"/>
        </w:rPr>
        <w:t xml:space="preserve">Relatório final (30 dias): no prazo de 30 dias após a notificação inicial, com descrição completa do incidente, causa raiz, impacto real, medidas corretivas e lições aprendidas</w:t>
      </w:r>
    </w:p>
    <w:p>
      <w:pPr>
        <w:spacing w:after="160"/>
      </w:pPr>
      <w:r>
        <w:rPr>
          <w:color w:val="374151"/>
          <w:sz w:val="22"/>
          <w:szCs w:val="22"/>
          <w:rFonts w:ascii="Calibri" w:cs="Calibri" w:eastAsia="Calibri" w:hAnsi="Calibri"/>
        </w:rPr>
        <w:t xml:space="preserve">A notificação deve ser efetuada pelo ponto de contacto designado ao abrigo do Art. 32.º do DL 125/2025, através dos canais definidos pelo CNCS. Em caso de dúvida sobre a obrigação de notificar, a organização deve assumir que o incidente é significativo e proceder à notificação preventiva.</w:t>
      </w:r>
    </w:p>
    <w:p>
      <w:pPr>
        <w:shd w:color="dbeafe" w:val="solid"/>
        <w:spacing w:before="160" w:after="160"/>
        <w:ind w:left="360" w:right="360"/>
      </w:pPr>
      <w:r>
        <w:rPr>
          <w:i/>
          <w:iCs/>
          <w:color w:val="1e3a8a"/>
          <w:sz w:val="22"/>
          <w:szCs w:val="22"/>
          <w:rFonts w:ascii="Calibri" w:cs="Calibri" w:eastAsia="Calibri" w:hAnsi="Calibri"/>
        </w:rPr>
        <w:t xml:space="preserve">Art. 40.º a 44.º do DL 125/2025 - processo de notificação de incidentes ao CNCS, incluindo prazos, conteúdo das notificações e comunicação com outras autoridades competentes.</w:t>
      </w:r>
    </w:p>
    <w:p>
      <w:pPr>
        <w:pStyle w:val="Heading1"/>
        <w:spacing w:before="400" w:after="200"/>
      </w:pPr>
      <w:r>
        <w:rPr>
          <w:b/>
          <w:bCs/>
          <w:color w:val="1e3a8a"/>
          <w:sz w:val="32"/>
          <w:szCs w:val="32"/>
          <w:rFonts w:ascii="Calibri" w:cs="Calibri" w:eastAsia="Calibri" w:hAnsi="Calibri"/>
        </w:rPr>
        <w:t xml:space="preserve">8. Notificação à CNPD (RGPD)</w:t>
      </w:r>
    </w:p>
    <w:p>
      <w:pPr>
        <w:spacing w:after="160"/>
      </w:pPr>
      <w:r>
        <w:rPr>
          <w:color w:val="374151"/>
          <w:sz w:val="22"/>
          <w:szCs w:val="22"/>
          <w:rFonts w:ascii="Calibri" w:cs="Calibri" w:eastAsia="Calibri" w:hAnsi="Calibri"/>
        </w:rPr>
        <w:t xml:space="preserve">O RGPD (Art. 33.º) obriga o responsável pelo tratamento a notificar a autoridade de controlo competente (em Portugal, a Comissão Nacional de Proteção de Dados - CNPD) no prazo de 72 horas após ter tomado conhecimento de uma violação de dados pessoais, salvo se for improvável que a violação resulte num risco para os direitos e liberdades das pessoas singulares.</w:t>
      </w:r>
    </w:p>
    <w:p>
      <w:pPr>
        <w:spacing w:after="160"/>
      </w:pPr>
      <w:r>
        <w:rPr>
          <w:color w:val="374151"/>
          <w:sz w:val="22"/>
          <w:szCs w:val="22"/>
          <w:rFonts w:ascii="Calibri" w:cs="Calibri" w:eastAsia="Calibri" w:hAnsi="Calibri"/>
        </w:rPr>
        <w:t xml:space="preserve">A notificação à CNPD deve incluir, nos termos do Art. 33.º n.º 3 do RGPD:</w:t>
      </w:r>
    </w:p>
    <w:p>
      <w:pPr>
        <w:pStyle w:val="ListParagraph"/>
        <w:numPr>
          <w:ilvl w:val="0"/>
          <w:numId w:val="1"/>
        </w:numPr>
        <w:spacing w:after="80"/>
      </w:pPr>
      <w:r>
        <w:rPr>
          <w:color w:val="374151"/>
          <w:sz w:val="22"/>
          <w:szCs w:val="22"/>
          <w:rFonts w:ascii="Calibri" w:cs="Calibri" w:eastAsia="Calibri" w:hAnsi="Calibri"/>
        </w:rPr>
        <w:t xml:space="preserve">Natureza da violação de dados pessoais, incluindo categorias e número aproximado de titulares afetados</w:t>
      </w:r>
    </w:p>
    <w:p>
      <w:pPr>
        <w:pStyle w:val="ListParagraph"/>
        <w:numPr>
          <w:ilvl w:val="0"/>
          <w:numId w:val="1"/>
        </w:numPr>
        <w:spacing w:after="80"/>
      </w:pPr>
      <w:r>
        <w:rPr>
          <w:color w:val="374151"/>
          <w:sz w:val="22"/>
          <w:szCs w:val="22"/>
          <w:rFonts w:ascii="Calibri" w:cs="Calibri" w:eastAsia="Calibri" w:hAnsi="Calibri"/>
        </w:rPr>
        <w:t xml:space="preserve">Nome e contactos do Encarregado de Proteção de Dados (DPO), se designado</w:t>
      </w:r>
    </w:p>
    <w:p>
      <w:pPr>
        <w:pStyle w:val="ListParagraph"/>
        <w:numPr>
          <w:ilvl w:val="0"/>
          <w:numId w:val="1"/>
        </w:numPr>
        <w:spacing w:after="80"/>
      </w:pPr>
      <w:r>
        <w:rPr>
          <w:color w:val="374151"/>
          <w:sz w:val="22"/>
          <w:szCs w:val="22"/>
          <w:rFonts w:ascii="Calibri" w:cs="Calibri" w:eastAsia="Calibri" w:hAnsi="Calibri"/>
        </w:rPr>
        <w:t xml:space="preserve">Descrição das consequências prováveis da violação</w:t>
      </w:r>
    </w:p>
    <w:p>
      <w:pPr>
        <w:pStyle w:val="ListParagraph"/>
        <w:numPr>
          <w:ilvl w:val="0"/>
          <w:numId w:val="1"/>
        </w:numPr>
        <w:spacing w:after="80"/>
      </w:pPr>
      <w:r>
        <w:rPr>
          <w:color w:val="374151"/>
          <w:sz w:val="22"/>
          <w:szCs w:val="22"/>
          <w:rFonts w:ascii="Calibri" w:cs="Calibri" w:eastAsia="Calibri" w:hAnsi="Calibri"/>
        </w:rPr>
        <w:t xml:space="preserve">Medidas adotadas ou propostas para remediar a violação e atenuar os seus efeitos adversos</w:t>
      </w:r>
    </w:p>
    <w:p>
      <w:pPr>
        <w:pStyle w:val="ListParagraph"/>
        <w:numPr>
          <w:ilvl w:val="0"/>
          <w:numId w:val="1"/>
        </w:numPr>
        <w:spacing w:after="80"/>
      </w:pPr>
      <w:r>
        <w:rPr>
          <w:color w:val="374151"/>
          <w:sz w:val="22"/>
          <w:szCs w:val="22"/>
          <w:rFonts w:ascii="Calibri" w:cs="Calibri" w:eastAsia="Calibri" w:hAnsi="Calibri"/>
        </w:rPr>
        <w:t xml:space="preserve">Categorias e número aproximado de registos de dados pessoais afetados</w:t>
      </w:r>
    </w:p>
    <w:p>
      <w:pPr>
        <w:spacing w:after="160"/>
      </w:pPr>
      <w:r>
        <w:rPr>
          <w:color w:val="374151"/>
          <w:sz w:val="22"/>
          <w:szCs w:val="22"/>
          <w:rFonts w:ascii="Calibri" w:cs="Calibri" w:eastAsia="Calibri" w:hAnsi="Calibri"/>
        </w:rPr>
        <w:t xml:space="preserve">Se a notificação não puder ser feita no prazo de 72 horas, deve ser acompanhada dos motivos do atraso. A notificação pode ser feita de forma faseada, quando não é possível fornecer toda a informação em simultâneo. O responsável pelo tratamento deve poder demonstrar a ausência de risco nos casos em que decida não notificar.</w:t>
      </w:r>
    </w:p>
    <w:p>
      <w:r>
        <w:br w:type="page"/>
      </w:r>
    </w:p>
    <w:p>
      <w:pPr>
        <w:pStyle w:val="Heading1"/>
        <w:spacing w:before="400" w:after="200"/>
      </w:pPr>
      <w:r>
        <w:rPr>
          <w:b/>
          <w:bCs/>
          <w:color w:val="1e3a8a"/>
          <w:sz w:val="32"/>
          <w:szCs w:val="32"/>
          <w:rFonts w:ascii="Calibri" w:cs="Calibri" w:eastAsia="Calibri" w:hAnsi="Calibri"/>
        </w:rPr>
        <w:t xml:space="preserve">9. Comunicação aos titulares de dados</w:t>
      </w:r>
    </w:p>
    <w:p>
      <w:pPr>
        <w:spacing w:after="160"/>
      </w:pPr>
      <w:r>
        <w:rPr>
          <w:color w:val="374151"/>
          <w:sz w:val="22"/>
          <w:szCs w:val="22"/>
          <w:rFonts w:ascii="Calibri" w:cs="Calibri" w:eastAsia="Calibri" w:hAnsi="Calibri"/>
        </w:rPr>
        <w:t xml:space="preserve">O RGPD (Art. 34.º) obriga a comunicar a violação de dados pessoais aos titulares afetados quando a violação for suscetível de implicar um elevado risco para os seus direitos e liberdades. A comunicação deve ser clara, direta e sem linguagem técnica excessiva, permitindo que as pessoas entendam o que aconteceu e como podem proteger-se.</w:t>
      </w:r>
    </w:p>
    <w:p>
      <w:pPr>
        <w:spacing w:after="160"/>
      </w:pPr>
      <w:r>
        <w:rPr>
          <w:color w:val="374151"/>
          <w:sz w:val="22"/>
          <w:szCs w:val="22"/>
          <w:rFonts w:ascii="Calibri" w:cs="Calibri" w:eastAsia="Calibri" w:hAnsi="Calibri"/>
        </w:rPr>
        <w:t xml:space="preserve">A comunicação aos titulares deve incluir:</w:t>
      </w:r>
    </w:p>
    <w:p>
      <w:pPr>
        <w:pStyle w:val="ListParagraph"/>
        <w:numPr>
          <w:ilvl w:val="0"/>
          <w:numId w:val="1"/>
        </w:numPr>
        <w:spacing w:after="80"/>
      </w:pPr>
      <w:r>
        <w:rPr>
          <w:color w:val="374151"/>
          <w:sz w:val="22"/>
          <w:szCs w:val="22"/>
          <w:rFonts w:ascii="Calibri" w:cs="Calibri" w:eastAsia="Calibri" w:hAnsi="Calibri"/>
        </w:rPr>
        <w:t xml:space="preserve">Descrição clara e simples da natureza da violação e dos dados afetados</w:t>
      </w:r>
    </w:p>
    <w:p>
      <w:pPr>
        <w:pStyle w:val="ListParagraph"/>
        <w:numPr>
          <w:ilvl w:val="0"/>
          <w:numId w:val="1"/>
        </w:numPr>
        <w:spacing w:after="80"/>
      </w:pPr>
      <w:r>
        <w:rPr>
          <w:color w:val="374151"/>
          <w:sz w:val="22"/>
          <w:szCs w:val="22"/>
          <w:rFonts w:ascii="Calibri" w:cs="Calibri" w:eastAsia="Calibri" w:hAnsi="Calibri"/>
        </w:rPr>
        <w:t xml:space="preserve">Nome e contactos do DPO ou ponto de contacto para esclarecimentos</w:t>
      </w:r>
    </w:p>
    <w:p>
      <w:pPr>
        <w:pStyle w:val="ListParagraph"/>
        <w:numPr>
          <w:ilvl w:val="0"/>
          <w:numId w:val="1"/>
        </w:numPr>
        <w:spacing w:after="80"/>
      </w:pPr>
      <w:r>
        <w:rPr>
          <w:color w:val="374151"/>
          <w:sz w:val="22"/>
          <w:szCs w:val="22"/>
          <w:rFonts w:ascii="Calibri" w:cs="Calibri" w:eastAsia="Calibri" w:hAnsi="Calibri"/>
        </w:rPr>
        <w:t xml:space="preserve">Descrição das consequências prováveis para os titulares afetados</w:t>
      </w:r>
    </w:p>
    <w:p>
      <w:pPr>
        <w:pStyle w:val="ListParagraph"/>
        <w:numPr>
          <w:ilvl w:val="0"/>
          <w:numId w:val="1"/>
        </w:numPr>
        <w:spacing w:after="80"/>
      </w:pPr>
      <w:r>
        <w:rPr>
          <w:color w:val="374151"/>
          <w:sz w:val="22"/>
          <w:szCs w:val="22"/>
          <w:rFonts w:ascii="Calibri" w:cs="Calibri" w:eastAsia="Calibri" w:hAnsi="Calibri"/>
        </w:rPr>
        <w:t xml:space="preserve">Medidas tomadas ou propostas pela organização para remediar a violação</w:t>
      </w:r>
    </w:p>
    <w:p>
      <w:pPr>
        <w:pStyle w:val="ListParagraph"/>
        <w:numPr>
          <w:ilvl w:val="0"/>
          <w:numId w:val="1"/>
        </w:numPr>
        <w:spacing w:after="80"/>
      </w:pPr>
      <w:r>
        <w:rPr>
          <w:color w:val="374151"/>
          <w:sz w:val="22"/>
          <w:szCs w:val="22"/>
          <w:rFonts w:ascii="Calibri" w:cs="Calibri" w:eastAsia="Calibri" w:hAnsi="Calibri"/>
        </w:rPr>
        <w:t xml:space="preserve">Recomendações práticas para que os titulares possam proteger-se (ex: alterar passwords, monitorizar contas)</w:t>
      </w:r>
    </w:p>
    <w:p>
      <w:pPr>
        <w:spacing w:after="160"/>
      </w:pPr>
      <w:r>
        <w:rPr>
          <w:color w:val="374151"/>
          <w:sz w:val="22"/>
          <w:szCs w:val="22"/>
          <w:rFonts w:ascii="Calibri" w:cs="Calibri" w:eastAsia="Calibri" w:hAnsi="Calibri"/>
        </w:rPr>
        <w:t xml:space="preserve">A comunicação deve ser efetuada sem demora injustificada, preferencialmente através do canal de comunicação habitual com o titular (ex: email, notificação na conta, carta). A comunicação deve ser aprovada pelo responsável jurídico e pelo DPO antes de ser enviada, para garantir conformidade legal e adequação do conteúdo.</w:t>
      </w:r>
    </w:p>
    <w:p>
      <w:pPr>
        <w:shd w:color="dbeafe" w:val="solid"/>
        <w:spacing w:before="160" w:after="160"/>
        <w:ind w:left="360" w:right="360"/>
      </w:pPr>
      <w:r>
        <w:rPr>
          <w:i/>
          <w:iCs/>
          <w:color w:val="1e3a8a"/>
          <w:sz w:val="22"/>
          <w:szCs w:val="22"/>
          <w:rFonts w:ascii="Calibri" w:cs="Calibri" w:eastAsia="Calibri" w:hAnsi="Calibri"/>
        </w:rPr>
        <w:t xml:space="preserve">Art. 34.º do RGPD e Art. 42.º do DL 125/2025 - obrigação de comunicar incidentes significativos aos destinatários de serviços afetados, quando necessário.</w:t>
      </w:r>
    </w:p>
    <w:p>
      <w:pPr>
        <w:pStyle w:val="Heading1"/>
        <w:spacing w:before="400" w:after="200"/>
      </w:pPr>
      <w:r>
        <w:rPr>
          <w:b/>
          <w:bCs/>
          <w:color w:val="1e3a8a"/>
          <w:sz w:val="32"/>
          <w:szCs w:val="32"/>
          <w:rFonts w:ascii="Calibri" w:cs="Calibri" w:eastAsia="Calibri" w:hAnsi="Calibri"/>
        </w:rPr>
        <w:t xml:space="preserve">10. Investigação e análise de causa raiz</w:t>
      </w:r>
    </w:p>
    <w:p>
      <w:pPr>
        <w:spacing w:after="160"/>
      </w:pPr>
      <w:r>
        <w:rPr>
          <w:color w:val="374151"/>
          <w:sz w:val="22"/>
          <w:szCs w:val="22"/>
          <w:rFonts w:ascii="Calibri" w:cs="Calibri" w:eastAsia="Calibri" w:hAnsi="Calibri"/>
        </w:rPr>
        <w:t xml:space="preserve">A investigação de uma violação de dados visa determinar o que aconteceu, como aconteceu, quais os dados afetados e por quanto tempo o acesso não autorizado ocorreu. Uma investigação completa é necessária para o relatório final ao CNCS, para a documentação interna e para a implementação de medidas corretivas eficazes.</w:t>
      </w:r>
    </w:p>
    <w:p>
      <w:pPr>
        <w:spacing w:after="160"/>
      </w:pPr>
      <w:r>
        <w:rPr>
          <w:color w:val="374151"/>
          <w:sz w:val="22"/>
          <w:szCs w:val="22"/>
          <w:rFonts w:ascii="Calibri" w:cs="Calibri" w:eastAsia="Calibri" w:hAnsi="Calibri"/>
        </w:rPr>
        <w:t xml:space="preserve">A investigação deve incluir:</w:t>
      </w:r>
    </w:p>
    <w:p>
      <w:pPr>
        <w:pStyle w:val="ListParagraph"/>
        <w:numPr>
          <w:ilvl w:val="0"/>
          <w:numId w:val="1"/>
        </w:numPr>
        <w:spacing w:after="80"/>
      </w:pPr>
      <w:r>
        <w:rPr>
          <w:color w:val="374151"/>
          <w:sz w:val="22"/>
          <w:szCs w:val="22"/>
          <w:rFonts w:ascii="Calibri" w:cs="Calibri" w:eastAsia="Calibri" w:hAnsi="Calibri"/>
        </w:rPr>
        <w:t xml:space="preserve">Análise forense dos sistemas afetados para determinar o vetor de ataque inicial</w:t>
      </w:r>
    </w:p>
    <w:p>
      <w:pPr>
        <w:pStyle w:val="ListParagraph"/>
        <w:numPr>
          <w:ilvl w:val="0"/>
          <w:numId w:val="1"/>
        </w:numPr>
        <w:spacing w:after="80"/>
      </w:pPr>
      <w:r>
        <w:rPr>
          <w:color w:val="374151"/>
          <w:sz w:val="22"/>
          <w:szCs w:val="22"/>
          <w:rFonts w:ascii="Calibri" w:cs="Calibri" w:eastAsia="Calibri" w:hAnsi="Calibri"/>
        </w:rPr>
        <w:t xml:space="preserve">Reconstituição da linha temporal do incidente desde o primeiro acesso até à deteção</w:t>
      </w:r>
    </w:p>
    <w:p>
      <w:pPr>
        <w:pStyle w:val="ListParagraph"/>
        <w:numPr>
          <w:ilvl w:val="0"/>
          <w:numId w:val="1"/>
        </w:numPr>
        <w:spacing w:after="80"/>
      </w:pPr>
      <w:r>
        <w:rPr>
          <w:color w:val="374151"/>
          <w:sz w:val="22"/>
          <w:szCs w:val="22"/>
          <w:rFonts w:ascii="Calibri" w:cs="Calibri" w:eastAsia="Calibri" w:hAnsi="Calibri"/>
        </w:rPr>
        <w:t xml:space="preserve">Identificação de todos os sistemas, dados e contas comprometidas</w:t>
      </w:r>
    </w:p>
    <w:p>
      <w:pPr>
        <w:pStyle w:val="ListParagraph"/>
        <w:numPr>
          <w:ilvl w:val="0"/>
          <w:numId w:val="1"/>
        </w:numPr>
        <w:spacing w:after="80"/>
      </w:pPr>
      <w:r>
        <w:rPr>
          <w:color w:val="374151"/>
          <w:sz w:val="22"/>
          <w:szCs w:val="22"/>
          <w:rFonts w:ascii="Calibri" w:cs="Calibri" w:eastAsia="Calibri" w:hAnsi="Calibri"/>
        </w:rPr>
        <w:t xml:space="preserve">Determinação da duração do acesso não autorizado e dos dados exfiltrados</w:t>
      </w:r>
    </w:p>
    <w:p>
      <w:pPr>
        <w:pStyle w:val="ListParagraph"/>
        <w:numPr>
          <w:ilvl w:val="0"/>
          <w:numId w:val="1"/>
        </w:numPr>
        <w:spacing w:after="80"/>
      </w:pPr>
      <w:r>
        <w:rPr>
          <w:color w:val="374151"/>
          <w:sz w:val="22"/>
          <w:szCs w:val="22"/>
          <w:rFonts w:ascii="Calibri" w:cs="Calibri" w:eastAsia="Calibri" w:hAnsi="Calibri"/>
        </w:rPr>
        <w:t xml:space="preserve">Identificação das vulnerabilidades ou falhas de controlo que permitiram a violação</w:t>
      </w:r>
    </w:p>
    <w:p>
      <w:pPr>
        <w:pStyle w:val="ListParagraph"/>
        <w:numPr>
          <w:ilvl w:val="0"/>
          <w:numId w:val="1"/>
        </w:numPr>
        <w:spacing w:after="80"/>
      </w:pPr>
      <w:r>
        <w:rPr>
          <w:color w:val="374151"/>
          <w:sz w:val="22"/>
          <w:szCs w:val="22"/>
          <w:rFonts w:ascii="Calibri" w:cs="Calibri" w:eastAsia="Calibri" w:hAnsi="Calibri"/>
        </w:rPr>
        <w:t xml:space="preserve">Avaliação da eficácia dos controlos de deteção existentes</w:t>
      </w:r>
    </w:p>
    <w:p>
      <w:pPr>
        <w:pStyle w:val="ListParagraph"/>
        <w:numPr>
          <w:ilvl w:val="0"/>
          <w:numId w:val="1"/>
        </w:numPr>
        <w:spacing w:after="80"/>
      </w:pPr>
      <w:r>
        <w:rPr>
          <w:color w:val="374151"/>
          <w:sz w:val="22"/>
          <w:szCs w:val="22"/>
          <w:rFonts w:ascii="Calibri" w:cs="Calibri" w:eastAsia="Calibri" w:hAnsi="Calibri"/>
        </w:rPr>
        <w:t xml:space="preserve">Determinação do âmbito real do incidente (pode ser mais alargado do que inicialmente identificado)</w:t>
      </w:r>
    </w:p>
    <w:p>
      <w:pPr>
        <w:spacing w:after="160"/>
      </w:pPr>
      <w:r>
        <w:rPr>
          <w:color w:val="374151"/>
          <w:sz w:val="22"/>
          <w:szCs w:val="22"/>
          <w:rFonts w:ascii="Calibri" w:cs="Calibri" w:eastAsia="Calibri" w:hAnsi="Calibri"/>
        </w:rPr>
        <w:t xml:space="preserve">A análise de causa raiz deve identificar não apenas a causa imediata, mas também as causas raiz subjacentes (ex: cultura organizacional, processos deficientes, controlos inadequados). Esta análise é a base para as medidas corretivas que previnem a recorrência de incidentes similares.</w:t>
      </w:r>
    </w:p>
    <w:p>
      <w:r>
        <w:br w:type="page"/>
      </w:r>
    </w:p>
    <w:p>
      <w:pPr>
        <w:pStyle w:val="Heading1"/>
        <w:spacing w:before="400" w:after="200"/>
      </w:pPr>
      <w:r>
        <w:rPr>
          <w:b/>
          <w:bCs/>
          <w:color w:val="1e3a8a"/>
          <w:sz w:val="32"/>
          <w:szCs w:val="32"/>
          <w:rFonts w:ascii="Calibri" w:cs="Calibri" w:eastAsia="Calibri" w:hAnsi="Calibri"/>
        </w:rPr>
        <w:t xml:space="preserve">11. Documentação e registo de violações</w:t>
      </w:r>
    </w:p>
    <w:p>
      <w:pPr>
        <w:spacing w:after="160"/>
      </w:pPr>
      <w:r>
        <w:rPr>
          <w:color w:val="374151"/>
          <w:sz w:val="22"/>
          <w:szCs w:val="22"/>
          <w:rFonts w:ascii="Calibri" w:cs="Calibri" w:eastAsia="Calibri" w:hAnsi="Calibri"/>
        </w:rPr>
        <w:t xml:space="preserve">O RGPD (Art. 33.º n.º 5) obriga os responsáveis pelo tratamento a documentar todas as violações de dados pessoais, independentemente da obrigação de notificação. O DL 125/2025 estabelece requisitos similares para incidentes de cibersegurança. Esta documentação serve de evidência de conformidade e de base para análise de tendências.</w:t>
      </w:r>
    </w:p>
    <w:p>
      <w:pPr>
        <w:spacing w:after="160"/>
      </w:pPr>
      <w:r>
        <w:rPr>
          <w:color w:val="374151"/>
          <w:sz w:val="22"/>
          <w:szCs w:val="22"/>
          <w:rFonts w:ascii="Calibri" w:cs="Calibri" w:eastAsia="Calibri" w:hAnsi="Calibri"/>
        </w:rPr>
        <w:t xml:space="preserve">O registo interno de violações deve incluir, para cada incidente:</w:t>
      </w:r>
    </w:p>
    <w:p>
      <w:pPr>
        <w:pStyle w:val="ListParagraph"/>
        <w:numPr>
          <w:ilvl w:val="0"/>
          <w:numId w:val="1"/>
        </w:numPr>
        <w:spacing w:after="80"/>
      </w:pPr>
      <w:r>
        <w:rPr>
          <w:color w:val="374151"/>
          <w:sz w:val="22"/>
          <w:szCs w:val="22"/>
          <w:rFonts w:ascii="Calibri" w:cs="Calibri" w:eastAsia="Calibri" w:hAnsi="Calibri"/>
        </w:rPr>
        <w:t xml:space="preserve">Data e hora da violação, da sua deteção e de cada ação subsequente</w:t>
      </w:r>
    </w:p>
    <w:p>
      <w:pPr>
        <w:pStyle w:val="ListParagraph"/>
        <w:numPr>
          <w:ilvl w:val="0"/>
          <w:numId w:val="1"/>
        </w:numPr>
        <w:spacing w:after="80"/>
      </w:pPr>
      <w:r>
        <w:rPr>
          <w:color w:val="374151"/>
          <w:sz w:val="22"/>
          <w:szCs w:val="22"/>
          <w:rFonts w:ascii="Calibri" w:cs="Calibri" w:eastAsia="Calibri" w:hAnsi="Calibri"/>
        </w:rPr>
        <w:t xml:space="preserve">Natureza, tipo e categorias de dados afetados</w:t>
      </w:r>
    </w:p>
    <w:p>
      <w:pPr>
        <w:pStyle w:val="ListParagraph"/>
        <w:numPr>
          <w:ilvl w:val="0"/>
          <w:numId w:val="1"/>
        </w:numPr>
        <w:spacing w:after="80"/>
      </w:pPr>
      <w:r>
        <w:rPr>
          <w:color w:val="374151"/>
          <w:sz w:val="22"/>
          <w:szCs w:val="22"/>
          <w:rFonts w:ascii="Calibri" w:cs="Calibri" w:eastAsia="Calibri" w:hAnsi="Calibri"/>
        </w:rPr>
        <w:t xml:space="preserve">Volume de dados e número de titulares afetados</w:t>
      </w:r>
    </w:p>
    <w:p>
      <w:pPr>
        <w:pStyle w:val="ListParagraph"/>
        <w:numPr>
          <w:ilvl w:val="0"/>
          <w:numId w:val="1"/>
        </w:numPr>
        <w:spacing w:after="80"/>
      </w:pPr>
      <w:r>
        <w:rPr>
          <w:color w:val="374151"/>
          <w:sz w:val="22"/>
          <w:szCs w:val="22"/>
          <w:rFonts w:ascii="Calibri" w:cs="Calibri" w:eastAsia="Calibri" w:hAnsi="Calibri"/>
        </w:rPr>
        <w:t xml:space="preserve">Causa raiz identificada e vetor de ataque</w:t>
      </w:r>
    </w:p>
    <w:p>
      <w:pPr>
        <w:pStyle w:val="ListParagraph"/>
        <w:numPr>
          <w:ilvl w:val="0"/>
          <w:numId w:val="1"/>
        </w:numPr>
        <w:spacing w:after="80"/>
      </w:pPr>
      <w:r>
        <w:rPr>
          <w:color w:val="374151"/>
          <w:sz w:val="22"/>
          <w:szCs w:val="22"/>
          <w:rFonts w:ascii="Calibri" w:cs="Calibri" w:eastAsia="Calibri" w:hAnsi="Calibri"/>
        </w:rPr>
        <w:t xml:space="preserve">Impacto real da violação nos titulares e na organização</w:t>
      </w:r>
    </w:p>
    <w:p>
      <w:pPr>
        <w:pStyle w:val="ListParagraph"/>
        <w:numPr>
          <w:ilvl w:val="0"/>
          <w:numId w:val="1"/>
        </w:numPr>
        <w:spacing w:after="80"/>
      </w:pPr>
      <w:r>
        <w:rPr>
          <w:color w:val="374151"/>
          <w:sz w:val="22"/>
          <w:szCs w:val="22"/>
          <w:rFonts w:ascii="Calibri" w:cs="Calibri" w:eastAsia="Calibri" w:hAnsi="Calibri"/>
        </w:rPr>
        <w:t xml:space="preserve">Medidas de contenção e remediação implementadas</w:t>
      </w:r>
    </w:p>
    <w:p>
      <w:pPr>
        <w:pStyle w:val="ListParagraph"/>
        <w:numPr>
          <w:ilvl w:val="0"/>
          <w:numId w:val="1"/>
        </w:numPr>
        <w:spacing w:after="80"/>
      </w:pPr>
      <w:r>
        <w:rPr>
          <w:color w:val="374151"/>
          <w:sz w:val="22"/>
          <w:szCs w:val="22"/>
          <w:rFonts w:ascii="Calibri" w:cs="Calibri" w:eastAsia="Calibri" w:hAnsi="Calibri"/>
        </w:rPr>
        <w:t xml:space="preserve">Notificações efetuadas às autoridades e titulares, com datas e conteúdos</w:t>
      </w:r>
    </w:p>
    <w:p>
      <w:pPr>
        <w:pStyle w:val="ListParagraph"/>
        <w:numPr>
          <w:ilvl w:val="0"/>
          <w:numId w:val="1"/>
        </w:numPr>
        <w:spacing w:after="80"/>
      </w:pPr>
      <w:r>
        <w:rPr>
          <w:color w:val="374151"/>
          <w:sz w:val="22"/>
          <w:szCs w:val="22"/>
          <w:rFonts w:ascii="Calibri" w:cs="Calibri" w:eastAsia="Calibri" w:hAnsi="Calibri"/>
        </w:rPr>
        <w:t xml:space="preserve">Avaliação de risco e decisão sobre obrigação de notificação</w:t>
      </w:r>
    </w:p>
    <w:p>
      <w:pPr>
        <w:pStyle w:val="ListParagraph"/>
        <w:numPr>
          <w:ilvl w:val="0"/>
          <w:numId w:val="1"/>
        </w:numPr>
        <w:spacing w:after="80"/>
      </w:pPr>
      <w:r>
        <w:rPr>
          <w:color w:val="374151"/>
          <w:sz w:val="22"/>
          <w:szCs w:val="22"/>
          <w:rFonts w:ascii="Calibri" w:cs="Calibri" w:eastAsia="Calibri" w:hAnsi="Calibri"/>
        </w:rPr>
        <w:t xml:space="preserve">Lições aprendidas e medidas preventivas implementadas</w:t>
      </w:r>
    </w:p>
    <w:p>
      <w:pPr>
        <w:spacing w:after="160"/>
      </w:pPr>
      <w:r>
        <w:rPr>
          <w:color w:val="374151"/>
          <w:sz w:val="22"/>
          <w:szCs w:val="22"/>
          <w:rFonts w:ascii="Calibri" w:cs="Calibri" w:eastAsia="Calibri" w:hAnsi="Calibri"/>
        </w:rPr>
        <w:t xml:space="preserve">O registo de violações é conservado por um período mínimo de 5 anos. O acesso ao registo é restrito ao responsável de cibersegurança, ao DPO, ao responsável jurídico e ao órgão de gestão. O registo é revisto regularmente para identificar padrões e tendências.</w:t>
      </w:r>
    </w:p>
    <w:p>
      <w:pPr>
        <w:pStyle w:val="Heading1"/>
        <w:spacing w:before="400" w:after="200"/>
      </w:pPr>
      <w:r>
        <w:rPr>
          <w:b/>
          <w:bCs/>
          <w:color w:val="1e3a8a"/>
          <w:sz w:val="32"/>
          <w:szCs w:val="32"/>
          <w:rFonts w:ascii="Calibri" w:cs="Calibri" w:eastAsia="Calibri" w:hAnsi="Calibri"/>
        </w:rPr>
        <w:t xml:space="preserve">12. Medidas corretivas</w:t>
      </w:r>
    </w:p>
    <w:p>
      <w:pPr>
        <w:spacing w:after="160"/>
      </w:pPr>
      <w:r>
        <w:rPr>
          <w:color w:val="374151"/>
          <w:sz w:val="22"/>
          <w:szCs w:val="22"/>
          <w:rFonts w:ascii="Calibri" w:cs="Calibri" w:eastAsia="Calibri" w:hAnsi="Calibri"/>
        </w:rPr>
        <w:t xml:space="preserve">A resposta a uma violação de dados não termina com a contenção e a notificação. A organização deve implementar medidas corretivas para resolver as vulnerabilidades que permitiram a violação e prevenir a sua recorrência. As medidas corretivas devem ser proporcionais ao risco identificado e implementadas atempadamente.</w:t>
      </w:r>
    </w:p>
    <w:p>
      <w:pPr>
        <w:spacing w:after="160"/>
      </w:pPr>
      <w:r>
        <w:rPr>
          <w:color w:val="374151"/>
          <w:sz w:val="22"/>
          <w:szCs w:val="22"/>
          <w:rFonts w:ascii="Calibri" w:cs="Calibri" w:eastAsia="Calibri" w:hAnsi="Calibri"/>
        </w:rPr>
        <w:t xml:space="preserve">O processo de medidas corretivas inclui:</w:t>
      </w:r>
    </w:p>
    <w:p>
      <w:pPr>
        <w:pStyle w:val="ListParagraph"/>
        <w:numPr>
          <w:ilvl w:val="0"/>
          <w:numId w:val="1"/>
        </w:numPr>
        <w:spacing w:after="80"/>
      </w:pPr>
      <w:r>
        <w:rPr>
          <w:color w:val="374151"/>
          <w:sz w:val="22"/>
          <w:szCs w:val="22"/>
          <w:rFonts w:ascii="Calibri" w:cs="Calibri" w:eastAsia="Calibri" w:hAnsi="Calibri"/>
        </w:rPr>
        <w:t xml:space="preserve">Identificação de todas as vulnerabilidades e falhas de controlo que contribuíram para a violação</w:t>
      </w:r>
    </w:p>
    <w:p>
      <w:pPr>
        <w:pStyle w:val="ListParagraph"/>
        <w:numPr>
          <w:ilvl w:val="0"/>
          <w:numId w:val="1"/>
        </w:numPr>
        <w:spacing w:after="80"/>
      </w:pPr>
      <w:r>
        <w:rPr>
          <w:color w:val="374151"/>
          <w:sz w:val="22"/>
          <w:szCs w:val="22"/>
          <w:rFonts w:ascii="Calibri" w:cs="Calibri" w:eastAsia="Calibri" w:hAnsi="Calibri"/>
        </w:rPr>
        <w:t xml:space="preserve">Priorização das correções com base no nível de risco de cada vulnerabilidade</w:t>
      </w:r>
    </w:p>
    <w:p>
      <w:pPr>
        <w:pStyle w:val="ListParagraph"/>
        <w:numPr>
          <w:ilvl w:val="0"/>
          <w:numId w:val="1"/>
        </w:numPr>
        <w:spacing w:after="80"/>
      </w:pPr>
      <w:r>
        <w:rPr>
          <w:color w:val="374151"/>
          <w:sz w:val="22"/>
          <w:szCs w:val="22"/>
          <w:rFonts w:ascii="Calibri" w:cs="Calibri" w:eastAsia="Calibri" w:hAnsi="Calibri"/>
        </w:rPr>
        <w:t xml:space="preserve">Definição de plano de ação com responsáveis e prazos para cada medida</w:t>
      </w:r>
    </w:p>
    <w:p>
      <w:pPr>
        <w:pStyle w:val="ListParagraph"/>
        <w:numPr>
          <w:ilvl w:val="0"/>
          <w:numId w:val="1"/>
        </w:numPr>
        <w:spacing w:after="80"/>
      </w:pPr>
      <w:r>
        <w:rPr>
          <w:color w:val="374151"/>
          <w:sz w:val="22"/>
          <w:szCs w:val="22"/>
          <w:rFonts w:ascii="Calibri" w:cs="Calibri" w:eastAsia="Calibri" w:hAnsi="Calibri"/>
        </w:rPr>
        <w:t xml:space="preserve">Implementação e teste das correções antes de colocar os sistemas em produção</w:t>
      </w:r>
    </w:p>
    <w:p>
      <w:pPr>
        <w:pStyle w:val="ListParagraph"/>
        <w:numPr>
          <w:ilvl w:val="0"/>
          <w:numId w:val="1"/>
        </w:numPr>
        <w:spacing w:after="80"/>
      </w:pPr>
      <w:r>
        <w:rPr>
          <w:color w:val="374151"/>
          <w:sz w:val="22"/>
          <w:szCs w:val="22"/>
          <w:rFonts w:ascii="Calibri" w:cs="Calibri" w:eastAsia="Calibri" w:hAnsi="Calibri"/>
        </w:rPr>
        <w:t xml:space="preserve">Verificação independente da eficácia das medidas implementadas</w:t>
      </w:r>
    </w:p>
    <w:p>
      <w:pPr>
        <w:pStyle w:val="ListParagraph"/>
        <w:numPr>
          <w:ilvl w:val="0"/>
          <w:numId w:val="1"/>
        </w:numPr>
        <w:spacing w:after="80"/>
      </w:pPr>
      <w:r>
        <w:rPr>
          <w:color w:val="374151"/>
          <w:sz w:val="22"/>
          <w:szCs w:val="22"/>
          <w:rFonts w:ascii="Calibri" w:cs="Calibri" w:eastAsia="Calibri" w:hAnsi="Calibri"/>
        </w:rPr>
        <w:t xml:space="preserve">Revisão e atualização de políticas e procedimentos relevantes</w:t>
      </w:r>
    </w:p>
    <w:p>
      <w:pPr>
        <w:pStyle w:val="ListParagraph"/>
        <w:numPr>
          <w:ilvl w:val="0"/>
          <w:numId w:val="1"/>
        </w:numPr>
        <w:spacing w:after="80"/>
      </w:pPr>
      <w:r>
        <w:rPr>
          <w:color w:val="374151"/>
          <w:sz w:val="22"/>
          <w:szCs w:val="22"/>
          <w:rFonts w:ascii="Calibri" w:cs="Calibri" w:eastAsia="Calibri" w:hAnsi="Calibri"/>
        </w:rPr>
        <w:t xml:space="preserve">Formação adicional para colaboradores se a violação envolveu fator humano</w:t>
      </w:r>
    </w:p>
    <w:p>
      <w:pPr>
        <w:pStyle w:val="Heading1"/>
        <w:spacing w:before="400" w:after="200"/>
      </w:pPr>
      <w:r>
        <w:rPr>
          <w:b/>
          <w:bCs/>
          <w:color w:val="1e3a8a"/>
          <w:sz w:val="32"/>
          <w:szCs w:val="32"/>
          <w:rFonts w:ascii="Calibri" w:cs="Calibri" w:eastAsia="Calibri" w:hAnsi="Calibri"/>
        </w:rPr>
        <w:t xml:space="preserve">13. Lições aprendidas</w:t>
      </w:r>
    </w:p>
    <w:p>
      <w:pPr>
        <w:spacing w:after="160"/>
      </w:pPr>
      <w:r>
        <w:rPr>
          <w:color w:val="374151"/>
          <w:sz w:val="22"/>
          <w:szCs w:val="22"/>
          <w:rFonts w:ascii="Calibri" w:cs="Calibri" w:eastAsia="Calibri" w:hAnsi="Calibri"/>
        </w:rPr>
        <w:t xml:space="preserve">Cada violação de dados, independentemente da sua gravidade, oferece uma oportunidade de aprendizagem e melhoria. A organização realiza uma revisão pós-incidente estruturada (post-mortem) para cada violação significativa, com o objetivo de extrair lições que melhorem a prevenção, a deteção e a resposta a incidentes futuros.</w:t>
      </w:r>
    </w:p>
    <w:p>
      <w:pPr>
        <w:spacing w:after="160"/>
      </w:pPr>
      <w:r>
        <w:rPr>
          <w:color w:val="374151"/>
          <w:sz w:val="22"/>
          <w:szCs w:val="22"/>
          <w:rFonts w:ascii="Calibri" w:cs="Calibri" w:eastAsia="Calibri" w:hAnsi="Calibri"/>
        </w:rPr>
        <w:t xml:space="preserve">A revisão pós-incidente deve incluir:</w:t>
      </w:r>
    </w:p>
    <w:p>
      <w:pPr>
        <w:pStyle w:val="ListParagraph"/>
        <w:numPr>
          <w:ilvl w:val="0"/>
          <w:numId w:val="1"/>
        </w:numPr>
        <w:spacing w:after="80"/>
      </w:pPr>
      <w:r>
        <w:rPr>
          <w:color w:val="374151"/>
          <w:sz w:val="22"/>
          <w:szCs w:val="22"/>
          <w:rFonts w:ascii="Calibri" w:cs="Calibri" w:eastAsia="Calibri" w:hAnsi="Calibri"/>
        </w:rPr>
        <w:t xml:space="preserve">Análise do que correu bem e do que pode ser melhorado em cada fase de resposta</w:t>
      </w:r>
    </w:p>
    <w:p>
      <w:pPr>
        <w:pStyle w:val="ListParagraph"/>
        <w:numPr>
          <w:ilvl w:val="0"/>
          <w:numId w:val="1"/>
        </w:numPr>
        <w:spacing w:after="80"/>
      </w:pPr>
      <w:r>
        <w:rPr>
          <w:color w:val="374151"/>
          <w:sz w:val="22"/>
          <w:szCs w:val="22"/>
          <w:rFonts w:ascii="Calibri" w:cs="Calibri" w:eastAsia="Calibri" w:hAnsi="Calibri"/>
        </w:rPr>
        <w:t xml:space="preserve">Avaliação da eficácia dos procedimentos e ferramentas utilizadas</w:t>
      </w:r>
    </w:p>
    <w:p>
      <w:pPr>
        <w:pStyle w:val="ListParagraph"/>
        <w:numPr>
          <w:ilvl w:val="0"/>
          <w:numId w:val="1"/>
        </w:numPr>
        <w:spacing w:after="80"/>
      </w:pPr>
      <w:r>
        <w:rPr>
          <w:color w:val="374151"/>
          <w:sz w:val="22"/>
          <w:szCs w:val="22"/>
          <w:rFonts w:ascii="Calibri" w:cs="Calibri" w:eastAsia="Calibri" w:hAnsi="Calibri"/>
        </w:rPr>
        <w:t xml:space="preserve">Identificação de gaps de formação ou de processos que contribuíram para o incidente</w:t>
      </w:r>
    </w:p>
    <w:p>
      <w:pPr>
        <w:pStyle w:val="ListParagraph"/>
        <w:numPr>
          <w:ilvl w:val="0"/>
          <w:numId w:val="1"/>
        </w:numPr>
        <w:spacing w:after="80"/>
      </w:pPr>
      <w:r>
        <w:rPr>
          <w:color w:val="374151"/>
          <w:sz w:val="22"/>
          <w:szCs w:val="22"/>
          <w:rFonts w:ascii="Calibri" w:cs="Calibri" w:eastAsia="Calibri" w:hAnsi="Calibri"/>
        </w:rPr>
        <w:t xml:space="preserve">Recomendações concretas para melhorar a prevenção, deteção e resposta</w:t>
      </w:r>
    </w:p>
    <w:p>
      <w:pPr>
        <w:pStyle w:val="ListParagraph"/>
        <w:numPr>
          <w:ilvl w:val="0"/>
          <w:numId w:val="1"/>
        </w:numPr>
        <w:spacing w:after="80"/>
      </w:pPr>
      <w:r>
        <w:rPr>
          <w:color w:val="374151"/>
          <w:sz w:val="22"/>
          <w:szCs w:val="22"/>
          <w:rFonts w:ascii="Calibri" w:cs="Calibri" w:eastAsia="Calibri" w:hAnsi="Calibri"/>
        </w:rPr>
        <w:t xml:space="preserve">Plano de implementação das melhorias identificadas, com prazos e responsáveis</w:t>
      </w:r>
    </w:p>
    <w:p>
      <w:pPr>
        <w:pStyle w:val="ListParagraph"/>
        <w:numPr>
          <w:ilvl w:val="0"/>
          <w:numId w:val="1"/>
        </w:numPr>
        <w:spacing w:after="80"/>
      </w:pPr>
      <w:r>
        <w:rPr>
          <w:color w:val="374151"/>
          <w:sz w:val="22"/>
          <w:szCs w:val="22"/>
          <w:rFonts w:ascii="Calibri" w:cs="Calibri" w:eastAsia="Calibri" w:hAnsi="Calibri"/>
        </w:rPr>
        <w:t xml:space="preserve">Comunicação das lições aprendidas ao órgão de gestão e às equipas relevantes</w:t>
      </w:r>
    </w:p>
    <w:p>
      <w:pPr>
        <w:spacing w:after="160"/>
      </w:pPr>
      <w:r>
        <w:rPr>
          <w:color w:val="374151"/>
          <w:sz w:val="22"/>
          <w:szCs w:val="22"/>
          <w:rFonts w:ascii="Calibri" w:cs="Calibri" w:eastAsia="Calibri" w:hAnsi="Calibri"/>
        </w:rPr>
        <w:t xml:space="preserve">As lições aprendidas de violações relevantes do setor são também monitorizadas e analisadas. A participação em partilha de informação sobre incidentes (ex: ISACs setoriais) permite à organização beneficiar da experiência de outros e contribuir para a resiliência coletiva do setor.</w:t>
      </w:r>
    </w:p>
    <w:p>
      <w:r>
        <w:br w:type="page"/>
      </w:r>
    </w:p>
    <w:p>
      <w:pPr>
        <w:pStyle w:val="Heading1"/>
        <w:spacing w:before="400" w:after="200"/>
      </w:pPr>
      <w:r>
        <w:rPr>
          <w:b/>
          <w:bCs/>
          <w:color w:val="1e3a8a"/>
          <w:sz w:val="32"/>
          <w:szCs w:val="32"/>
          <w:rFonts w:ascii="Calibri" w:cs="Calibri" w:eastAsia="Calibri" w:hAnsi="Calibri"/>
        </w:rPr>
        <w:t xml:space="preserve">14. Responsabilidades</w:t>
      </w:r>
    </w:p>
    <w:p>
      <w:pPr>
        <w:pStyle w:val="Heading2"/>
        <w:spacing w:before="320" w:after="160"/>
      </w:pPr>
      <w:r>
        <w:rPr>
          <w:b/>
          <w:bCs/>
          <w:color w:val="1e3a8a"/>
          <w:sz w:val="28"/>
          <w:szCs w:val="28"/>
          <w:rFonts w:ascii="Calibri" w:cs="Calibri" w:eastAsia="Calibri" w:hAnsi="Calibri"/>
        </w:rPr>
        <w:t xml:space="preserve">14.1. Órgão de gestão</w:t>
      </w:r>
    </w:p>
    <w:p>
      <w:pPr>
        <w:pStyle w:val="ListParagraph"/>
        <w:numPr>
          <w:ilvl w:val="0"/>
          <w:numId w:val="1"/>
        </w:numPr>
        <w:spacing w:after="80"/>
      </w:pPr>
      <w:r>
        <w:rPr>
          <w:color w:val="374151"/>
          <w:sz w:val="22"/>
          <w:szCs w:val="22"/>
          <w:rFonts w:ascii="Calibri" w:cs="Calibri" w:eastAsia="Calibri" w:hAnsi="Calibri"/>
        </w:rPr>
        <w:t xml:space="preserve">Ser notificado imediatamente de violações significativas</w:t>
      </w:r>
    </w:p>
    <w:p>
      <w:pPr>
        <w:pStyle w:val="ListParagraph"/>
        <w:numPr>
          <w:ilvl w:val="0"/>
          <w:numId w:val="1"/>
        </w:numPr>
        <w:spacing w:after="80"/>
      </w:pPr>
      <w:r>
        <w:rPr>
          <w:color w:val="374151"/>
          <w:sz w:val="22"/>
          <w:szCs w:val="22"/>
          <w:rFonts w:ascii="Calibri" w:cs="Calibri" w:eastAsia="Calibri" w:hAnsi="Calibri"/>
        </w:rPr>
        <w:t xml:space="preserve">Aprovar comunicações públicas sobre violações de dados</w:t>
      </w:r>
    </w:p>
    <w:p>
      <w:pPr>
        <w:pStyle w:val="ListParagraph"/>
        <w:numPr>
          <w:ilvl w:val="0"/>
          <w:numId w:val="1"/>
        </w:numPr>
        <w:spacing w:after="80"/>
      </w:pPr>
      <w:r>
        <w:rPr>
          <w:color w:val="374151"/>
          <w:sz w:val="22"/>
          <w:szCs w:val="22"/>
          <w:rFonts w:ascii="Calibri" w:cs="Calibri" w:eastAsia="Calibri" w:hAnsi="Calibri"/>
        </w:rPr>
        <w:t xml:space="preserve">Garantir os recursos necessários para a resposta a incidentes</w:t>
      </w:r>
    </w:p>
    <w:p>
      <w:pPr>
        <w:pStyle w:val="ListParagraph"/>
        <w:numPr>
          <w:ilvl w:val="0"/>
          <w:numId w:val="1"/>
        </w:numPr>
        <w:spacing w:after="80"/>
      </w:pPr>
      <w:r>
        <w:rPr>
          <w:color w:val="374151"/>
          <w:sz w:val="22"/>
          <w:szCs w:val="22"/>
          <w:rFonts w:ascii="Calibri" w:cs="Calibri" w:eastAsia="Calibri" w:hAnsi="Calibri"/>
        </w:rPr>
        <w:t xml:space="preserve">Responder pessoalmente às obrigações legais que recaem sobre o órgão de gestão</w:t>
      </w:r>
    </w:p>
    <w:p>
      <w:pPr>
        <w:pStyle w:val="Heading2"/>
        <w:spacing w:before="320" w:after="160"/>
      </w:pPr>
      <w:r>
        <w:rPr>
          <w:b/>
          <w:bCs/>
          <w:color w:val="1e3a8a"/>
          <w:sz w:val="28"/>
          <w:szCs w:val="28"/>
          <w:rFonts w:ascii="Calibri" w:cs="Calibri" w:eastAsia="Calibri" w:hAnsi="Calibri"/>
        </w:rPr>
        <w:t xml:space="preserve">14.2. Responsável de cibersegurança</w:t>
      </w:r>
    </w:p>
    <w:p>
      <w:pPr>
        <w:pStyle w:val="ListParagraph"/>
        <w:numPr>
          <w:ilvl w:val="0"/>
          <w:numId w:val="1"/>
        </w:numPr>
        <w:spacing w:after="80"/>
      </w:pPr>
      <w:r>
        <w:rPr>
          <w:color w:val="374151"/>
          <w:sz w:val="22"/>
          <w:szCs w:val="22"/>
          <w:rFonts w:ascii="Calibri" w:cs="Calibri" w:eastAsia="Calibri" w:hAnsi="Calibri"/>
        </w:rPr>
        <w:t xml:space="preserve">Liderar a resposta técnica à violação de dados</w:t>
      </w:r>
    </w:p>
    <w:p>
      <w:pPr>
        <w:pStyle w:val="ListParagraph"/>
        <w:numPr>
          <w:ilvl w:val="0"/>
          <w:numId w:val="1"/>
        </w:numPr>
        <w:spacing w:after="80"/>
      </w:pPr>
      <w:r>
        <w:rPr>
          <w:color w:val="374151"/>
          <w:sz w:val="22"/>
          <w:szCs w:val="22"/>
          <w:rFonts w:ascii="Calibri" w:cs="Calibri" w:eastAsia="Calibri" w:hAnsi="Calibri"/>
        </w:rPr>
        <w:t xml:space="preserve">Coordenar a equipa de resposta a incidentes</w:t>
      </w:r>
    </w:p>
    <w:p>
      <w:pPr>
        <w:pStyle w:val="ListParagraph"/>
        <w:numPr>
          <w:ilvl w:val="0"/>
          <w:numId w:val="1"/>
        </w:numPr>
        <w:spacing w:after="80"/>
      </w:pPr>
      <w:r>
        <w:rPr>
          <w:color w:val="374151"/>
          <w:sz w:val="22"/>
          <w:szCs w:val="22"/>
          <w:rFonts w:ascii="Calibri" w:cs="Calibri" w:eastAsia="Calibri" w:hAnsi="Calibri"/>
        </w:rPr>
        <w:t xml:space="preserve">Notificar o CNCS nos prazos do DL 125/2025</w:t>
      </w:r>
    </w:p>
    <w:p>
      <w:pPr>
        <w:pStyle w:val="ListParagraph"/>
        <w:numPr>
          <w:ilvl w:val="0"/>
          <w:numId w:val="1"/>
        </w:numPr>
        <w:spacing w:after="80"/>
      </w:pPr>
      <w:r>
        <w:rPr>
          <w:color w:val="374151"/>
          <w:sz w:val="22"/>
          <w:szCs w:val="22"/>
          <w:rFonts w:ascii="Calibri" w:cs="Calibri" w:eastAsia="Calibri" w:hAnsi="Calibri"/>
        </w:rPr>
        <w:t xml:space="preserve">Documentar o incidente e as ações de resposta</w:t>
      </w:r>
    </w:p>
    <w:p>
      <w:pPr>
        <w:pStyle w:val="ListParagraph"/>
        <w:numPr>
          <w:ilvl w:val="0"/>
          <w:numId w:val="1"/>
        </w:numPr>
        <w:spacing w:after="80"/>
      </w:pPr>
      <w:r>
        <w:rPr>
          <w:color w:val="374151"/>
          <w:sz w:val="22"/>
          <w:szCs w:val="22"/>
          <w:rFonts w:ascii="Calibri" w:cs="Calibri" w:eastAsia="Calibri" w:hAnsi="Calibri"/>
        </w:rPr>
        <w:t xml:space="preserve">Coordenar a análise de causa raiz e as medidas corretivas</w:t>
      </w:r>
    </w:p>
    <w:p>
      <w:pPr>
        <w:pStyle w:val="Heading2"/>
        <w:spacing w:before="320" w:after="160"/>
      </w:pPr>
      <w:r>
        <w:rPr>
          <w:b/>
          <w:bCs/>
          <w:color w:val="1e3a8a"/>
          <w:sz w:val="28"/>
          <w:szCs w:val="28"/>
          <w:rFonts w:ascii="Calibri" w:cs="Calibri" w:eastAsia="Calibri" w:hAnsi="Calibri"/>
        </w:rPr>
        <w:t xml:space="preserve">14.3. Encarregado de Proteção de Dados (DPO)</w:t>
      </w:r>
    </w:p>
    <w:p>
      <w:pPr>
        <w:pStyle w:val="ListParagraph"/>
        <w:numPr>
          <w:ilvl w:val="0"/>
          <w:numId w:val="1"/>
        </w:numPr>
        <w:spacing w:after="80"/>
      </w:pPr>
      <w:r>
        <w:rPr>
          <w:color w:val="374151"/>
          <w:sz w:val="22"/>
          <w:szCs w:val="22"/>
          <w:rFonts w:ascii="Calibri" w:cs="Calibri" w:eastAsia="Calibri" w:hAnsi="Calibri"/>
        </w:rPr>
        <w:t xml:space="preserve">Avaliar a obrigação de notificação à CNPD ao abrigo do RGPD</w:t>
      </w:r>
    </w:p>
    <w:p>
      <w:pPr>
        <w:pStyle w:val="ListParagraph"/>
        <w:numPr>
          <w:ilvl w:val="0"/>
          <w:numId w:val="1"/>
        </w:numPr>
        <w:spacing w:after="80"/>
      </w:pPr>
      <w:r>
        <w:rPr>
          <w:color w:val="374151"/>
          <w:sz w:val="22"/>
          <w:szCs w:val="22"/>
          <w:rFonts w:ascii="Calibri" w:cs="Calibri" w:eastAsia="Calibri" w:hAnsi="Calibri"/>
        </w:rPr>
        <w:t xml:space="preserve">Coordenar a notificação à CNPD no prazo de 72 horas</w:t>
      </w:r>
    </w:p>
    <w:p>
      <w:pPr>
        <w:pStyle w:val="ListParagraph"/>
        <w:numPr>
          <w:ilvl w:val="0"/>
          <w:numId w:val="1"/>
        </w:numPr>
        <w:spacing w:after="80"/>
      </w:pPr>
      <w:r>
        <w:rPr>
          <w:color w:val="374151"/>
          <w:sz w:val="22"/>
          <w:szCs w:val="22"/>
          <w:rFonts w:ascii="Calibri" w:cs="Calibri" w:eastAsia="Calibri" w:hAnsi="Calibri"/>
        </w:rPr>
        <w:t xml:space="preserve">Avaliar a necessidade de comunicação aos titulares de dados</w:t>
      </w:r>
    </w:p>
    <w:p>
      <w:pPr>
        <w:pStyle w:val="ListParagraph"/>
        <w:numPr>
          <w:ilvl w:val="0"/>
          <w:numId w:val="1"/>
        </w:numPr>
        <w:spacing w:after="80"/>
      </w:pPr>
      <w:r>
        <w:rPr>
          <w:color w:val="374151"/>
          <w:sz w:val="22"/>
          <w:szCs w:val="22"/>
          <w:rFonts w:ascii="Calibri" w:cs="Calibri" w:eastAsia="Calibri" w:hAnsi="Calibri"/>
        </w:rPr>
        <w:t xml:space="preserve">Garantir a documentação adequada no registo de violações</w:t>
      </w:r>
    </w:p>
    <w:p>
      <w:pPr>
        <w:pStyle w:val="ListParagraph"/>
        <w:numPr>
          <w:ilvl w:val="0"/>
          <w:numId w:val="1"/>
        </w:numPr>
        <w:spacing w:after="80"/>
      </w:pPr>
      <w:r>
        <w:rPr>
          <w:color w:val="374151"/>
          <w:sz w:val="22"/>
          <w:szCs w:val="22"/>
          <w:rFonts w:ascii="Calibri" w:cs="Calibri" w:eastAsia="Calibri" w:hAnsi="Calibri"/>
        </w:rPr>
        <w:t xml:space="preserve">Aconselhar sobre as obrigações legais durante a resposta ao incidente</w:t>
      </w:r>
    </w:p>
    <w:p>
      <w:pPr>
        <w:pStyle w:val="Heading2"/>
        <w:spacing w:before="320" w:after="160"/>
      </w:pPr>
      <w:r>
        <w:rPr>
          <w:b/>
          <w:bCs/>
          <w:color w:val="1e3a8a"/>
          <w:sz w:val="28"/>
          <w:szCs w:val="28"/>
          <w:rFonts w:ascii="Calibri" w:cs="Calibri" w:eastAsia="Calibri" w:hAnsi="Calibri"/>
        </w:rPr>
        <w:t xml:space="preserve">14.4. Responsável jurídico</w:t>
      </w:r>
    </w:p>
    <w:p>
      <w:pPr>
        <w:pStyle w:val="ListParagraph"/>
        <w:numPr>
          <w:ilvl w:val="0"/>
          <w:numId w:val="1"/>
        </w:numPr>
        <w:spacing w:after="80"/>
      </w:pPr>
      <w:r>
        <w:rPr>
          <w:color w:val="374151"/>
          <w:sz w:val="22"/>
          <w:szCs w:val="22"/>
          <w:rFonts w:ascii="Calibri" w:cs="Calibri" w:eastAsia="Calibri" w:hAnsi="Calibri"/>
        </w:rPr>
        <w:t xml:space="preserve">Assessorar sobre as obrigações legais e regulamentares aplicáveis</w:t>
      </w:r>
    </w:p>
    <w:p>
      <w:pPr>
        <w:pStyle w:val="ListParagraph"/>
        <w:numPr>
          <w:ilvl w:val="0"/>
          <w:numId w:val="1"/>
        </w:numPr>
        <w:spacing w:after="80"/>
      </w:pPr>
      <w:r>
        <w:rPr>
          <w:color w:val="374151"/>
          <w:sz w:val="22"/>
          <w:szCs w:val="22"/>
          <w:rFonts w:ascii="Calibri" w:cs="Calibri" w:eastAsia="Calibri" w:hAnsi="Calibri"/>
        </w:rPr>
        <w:t xml:space="preserve">Rever comunicações às autoridades e aos titulares de dados</w:t>
      </w:r>
    </w:p>
    <w:p>
      <w:pPr>
        <w:pStyle w:val="ListParagraph"/>
        <w:numPr>
          <w:ilvl w:val="0"/>
          <w:numId w:val="1"/>
        </w:numPr>
        <w:spacing w:after="80"/>
      </w:pPr>
      <w:r>
        <w:rPr>
          <w:color w:val="374151"/>
          <w:sz w:val="22"/>
          <w:szCs w:val="22"/>
          <w:rFonts w:ascii="Calibri" w:cs="Calibri" w:eastAsia="Calibri" w:hAnsi="Calibri"/>
        </w:rPr>
        <w:t xml:space="preserve">Gerir potenciais responsabilidades legais decorrentes da violação</w:t>
      </w:r>
    </w:p>
    <w:p>
      <w:pPr>
        <w:pStyle w:val="ListParagraph"/>
        <w:numPr>
          <w:ilvl w:val="0"/>
          <w:numId w:val="1"/>
        </w:numPr>
        <w:spacing w:after="80"/>
      </w:pPr>
      <w:r>
        <w:rPr>
          <w:color w:val="374151"/>
          <w:sz w:val="22"/>
          <w:szCs w:val="22"/>
          <w:rFonts w:ascii="Calibri" w:cs="Calibri" w:eastAsia="Calibri" w:hAnsi="Calibri"/>
        </w:rPr>
        <w:t xml:space="preserve">Coordenar com advogados externos quando necessário</w:t>
      </w:r>
    </w:p>
    <w:p>
      <w:pPr>
        <w:pStyle w:val="Heading2"/>
        <w:spacing w:before="320" w:after="160"/>
      </w:pPr>
      <w:r>
        <w:rPr>
          <w:b/>
          <w:bCs/>
          <w:color w:val="1e3a8a"/>
          <w:sz w:val="28"/>
          <w:szCs w:val="28"/>
          <w:rFonts w:ascii="Calibri" w:cs="Calibri" w:eastAsia="Calibri" w:hAnsi="Calibri"/>
        </w:rPr>
        <w:t xml:space="preserve">14.5. Todos os colaboradores</w:t>
      </w:r>
    </w:p>
    <w:p>
      <w:pPr>
        <w:pStyle w:val="ListParagraph"/>
        <w:numPr>
          <w:ilvl w:val="0"/>
          <w:numId w:val="1"/>
        </w:numPr>
        <w:spacing w:after="80"/>
      </w:pPr>
      <w:r>
        <w:rPr>
          <w:color w:val="374151"/>
          <w:sz w:val="22"/>
          <w:szCs w:val="22"/>
          <w:rFonts w:ascii="Calibri" w:cs="Calibri" w:eastAsia="Calibri" w:hAnsi="Calibri"/>
        </w:rPr>
        <w:t xml:space="preserve">Reportar imediatamente qualquer suspeita de violação de dados</w:t>
      </w:r>
    </w:p>
    <w:p>
      <w:pPr>
        <w:pStyle w:val="ListParagraph"/>
        <w:numPr>
          <w:ilvl w:val="0"/>
          <w:numId w:val="1"/>
        </w:numPr>
        <w:spacing w:after="80"/>
      </w:pPr>
      <w:r>
        <w:rPr>
          <w:color w:val="374151"/>
          <w:sz w:val="22"/>
          <w:szCs w:val="22"/>
          <w:rFonts w:ascii="Calibri" w:cs="Calibri" w:eastAsia="Calibri" w:hAnsi="Calibri"/>
        </w:rPr>
        <w:t xml:space="preserve">Cooperar com a investigação e fornecer toda a informação relevante</w:t>
      </w:r>
    </w:p>
    <w:p>
      <w:pPr>
        <w:pStyle w:val="ListParagraph"/>
        <w:numPr>
          <w:ilvl w:val="0"/>
          <w:numId w:val="1"/>
        </w:numPr>
        <w:spacing w:after="80"/>
      </w:pPr>
      <w:r>
        <w:rPr>
          <w:color w:val="374151"/>
          <w:sz w:val="22"/>
          <w:szCs w:val="22"/>
          <w:rFonts w:ascii="Calibri" w:cs="Calibri" w:eastAsia="Calibri" w:hAnsi="Calibri"/>
        </w:rPr>
        <w:t xml:space="preserve">Não divulgar informação sobre a violação externamente sem autorização</w:t>
      </w:r>
    </w:p>
    <w:p>
      <w:pPr>
        <w:shd w:color="dbeafe" w:val="solid"/>
        <w:spacing w:before="160" w:after="160"/>
        <w:ind w:left="360" w:right="360"/>
      </w:pPr>
      <w:r>
        <w:rPr>
          <w:i/>
          <w:iCs/>
          <w:color w:val="1e3a8a"/>
          <w:sz w:val="22"/>
          <w:szCs w:val="22"/>
          <w:rFonts w:ascii="Calibri" w:cs="Calibri" w:eastAsia="Calibri" w:hAnsi="Calibri"/>
        </w:rPr>
        <w:t xml:space="preserve">Art. 40.º a 44.º do DL 125/2025 e Art. 33.º e 34.º do RGPD - obrigações de notificação e comunicação em caso de violações de dados e incidentes significativos.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Política de resposta a violações de dados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2026-03-18T13:34:02.911Z</dcterms:created>
  <dcterms:modified xsi:type="dcterms:W3CDTF">2026-03-18T13:34:02.911Z</dcterms:modified>
</cp:coreProperties>
</file>

<file path=docProps/custom.xml><?xml version="1.0" encoding="utf-8"?>
<Properties xmlns="http://schemas.openxmlformats.org/officeDocument/2006/custom-properties" xmlns:vt="http://schemas.openxmlformats.org/officeDocument/2006/docPropsVTypes"/>
</file>