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Override ContentType="application/vnd.openxmlformats-officedocument.wordprocessingml.header+xml" PartName="/word/header1.xml"/>
  <Override ContentType="application/vnd.openxmlformats-officedocument.wordprocessingml.footer+xml" PartName="/word/footer1.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after="400"/>
      </w:pPr>
    </w:p>
    <w:p>
      <w:pPr>
        <w:spacing w:after="600"/>
        <w:jc w:val="center"/>
      </w:pPr>
      <w:r>
        <w:rPr>
          <w:i/>
          <w:iCs/>
          <w:color w:val="9ca3af"/>
          <w:sz w:val="22"/>
          <w:szCs w:val="22"/>
          <w:rFonts w:ascii="Calibri" w:cs="Calibri" w:eastAsia="Calibri" w:hAnsi="Calibri"/>
        </w:rPr>
        <w:t xml:space="preserve">[Nome da organização]</w:t>
      </w:r>
    </w:p>
    <w:p>
      <w:pPr>
        <w:spacing w:after="300"/>
        <w:jc w:val="center"/>
      </w:pPr>
      <w:r>
        <w:rPr>
          <w:b/>
          <w:bCs/>
          <w:color w:val="1e3a8a"/>
          <w:sz w:val="28"/>
          <w:szCs w:val="28"/>
          <w:rFonts w:ascii="Calibri" w:cs="Calibri" w:eastAsia="Calibri" w:hAnsi="Calibri"/>
        </w:rPr>
        <w:t xml:space="preserve">Política de gestão de vulnerabilidades</w:t>
      </w:r>
    </w:p>
    <w:p>
      <w:pPr>
        <w:spacing w:after="1200"/>
        <w:jc w:val="center"/>
      </w:pPr>
      <w:r>
        <w:rPr>
          <w:color w:val="374151"/>
          <w:sz w:val="22"/>
          <w:szCs w:val="22"/>
          <w:rFonts w:ascii="Calibri" w:cs="Calibri" w:eastAsia="Calibri" w:hAnsi="Calibri"/>
        </w:rPr>
        <w:t xml:space="preserve">Conformidade com o Decreto-Lei n.º 125/2025 (NIS2)</w:t>
      </w:r>
    </w:p>
    <w:p>
      <w:pPr>
        <w:spacing w:after="160"/>
        <w:jc w:val="center"/>
      </w:pPr>
      <w:r>
        <w:rPr>
          <w:b/>
          <w:bCs/>
          <w:color w:val="374151"/>
          <w:sz w:val="22"/>
          <w:szCs w:val="22"/>
          <w:rFonts w:ascii="Calibri" w:cs="Calibri" w:eastAsia="Calibri" w:hAnsi="Calibri"/>
        </w:rPr>
        <w:t xml:space="preserve">Versão: </w:t>
      </w:r>
      <w:r>
        <w:rPr>
          <w:color w:val="374151"/>
          <w:sz w:val="22"/>
          <w:szCs w:val="22"/>
          <w:rFonts w:ascii="Calibri" w:cs="Calibri" w:eastAsia="Calibri" w:hAnsi="Calibri"/>
        </w:rPr>
        <w:t xml:space="preserve">1.0</w:t>
      </w:r>
    </w:p>
    <w:p>
      <w:pPr>
        <w:spacing w:after="160"/>
        <w:jc w:val="center"/>
      </w:pPr>
      <w:r>
        <w:rPr>
          <w:b/>
          <w:bCs/>
          <w:color w:val="374151"/>
          <w:sz w:val="22"/>
          <w:szCs w:val="22"/>
          <w:rFonts w:ascii="Calibri" w:cs="Calibri" w:eastAsia="Calibri" w:hAnsi="Calibri"/>
        </w:rPr>
        <w:t xml:space="preserve">Data: </w:t>
      </w:r>
      <w:r>
        <w:rPr>
          <w:color w:val="374151"/>
          <w:sz w:val="22"/>
          <w:szCs w:val="22"/>
          <w:rFonts w:ascii="Calibri" w:cs="Calibri" w:eastAsia="Calibri" w:hAnsi="Calibri"/>
        </w:rPr>
        <w:t xml:space="preserve">18/03/2026</w:t>
      </w:r>
    </w:p>
    <w:p>
      <w:pPr>
        <w:spacing w:after="400"/>
        <w:jc w:val="center"/>
      </w:pPr>
      <w:r>
        <w:rPr>
          <w:b/>
          <w:bCs/>
          <w:color w:val="374151"/>
          <w:sz w:val="22"/>
          <w:szCs w:val="22"/>
          <w:rFonts w:ascii="Calibri" w:cs="Calibri" w:eastAsia="Calibri" w:hAnsi="Calibri"/>
        </w:rPr>
        <w:t xml:space="preserve">Classificação: </w:t>
      </w:r>
      <w:r>
        <w:rPr>
          <w:b/>
          <w:bCs/>
          <w:color w:val="dc2626"/>
          <w:sz w:val="22"/>
          <w:szCs w:val="22"/>
          <w:rFonts w:ascii="Calibri" w:cs="Calibri" w:eastAsia="Calibri" w:hAnsi="Calibri"/>
        </w:rPr>
        <w:t xml:space="preserve">Confidencial</w:t>
      </w:r>
    </w:p>
    <w:p>
      <w:r>
        <w:br w:type="page"/>
      </w:r>
    </w:p>
    <w:p>
      <w:pPr>
        <w:pStyle w:val="Heading2"/>
        <w:spacing w:before="320" w:after="160"/>
      </w:pPr>
      <w:r>
        <w:rPr>
          <w:b/>
          <w:bCs/>
          <w:color w:val="1e3a8a"/>
          <w:sz w:val="28"/>
          <w:szCs w:val="28"/>
          <w:rFonts w:ascii="Calibri" w:cs="Calibri" w:eastAsia="Calibri" w:hAnsi="Calibri"/>
        </w:rPr>
        <w:t xml:space="preserve">Controlo de versões</w:t>
      </w:r>
    </w:p>
    <w:tbl>
      <w:tblPr>
        <w:tblW w:type="pct" w:w="100%"/>
        <w:tblBorders>
          <w:top w:val="single" w:color="auto" w:sz="4"/>
          <w:left w:val="single" w:color="auto" w:sz="4"/>
          <w:bottom w:val="single" w:color="auto" w:sz="4"/>
          <w:right w:val="single" w:color="auto" w:sz="4"/>
          <w:insideH w:val="single" w:color="auto" w:sz="4"/>
          <w:insideV w:val="single" w:color="auto" w:sz="4"/>
        </w:tblBorders>
      </w:tblPr>
      <w:tblGrid>
        <w:gridCol w:w="100"/>
        <w:gridCol w:w="100"/>
        <w:gridCol w:w="100"/>
        <w:gridCol w:w="100"/>
        <w:gridCol w:w="100"/>
      </w:tblGrid>
      <w:tr>
        <w:trPr>
          <w:tblHeader/>
        </w:trPr>
        <w:tc>
          <w:tcPr>
            <w:shd w:color="1e3a8a" w:val="solid"/>
            <w:vAlign w:val="center"/>
          </w:tcPr>
          <w:p>
            <w:r>
              <w:rPr>
                <w:b/>
                <w:bCs/>
                <w:color w:val="ffffff"/>
                <w:sz w:val="22"/>
                <w:szCs w:val="22"/>
                <w:rFonts w:ascii="Calibri" w:cs="Calibri" w:eastAsia="Calibri" w:hAnsi="Calibri"/>
              </w:rPr>
              <w:t xml:space="preserve">Versão</w:t>
            </w:r>
          </w:p>
        </w:tc>
        <w:tc>
          <w:tcPr>
            <w:shd w:color="1e3a8a" w:val="solid"/>
            <w:vAlign w:val="center"/>
          </w:tcPr>
          <w:p>
            <w:r>
              <w:rPr>
                <w:b/>
                <w:bCs/>
                <w:color w:val="ffffff"/>
                <w:sz w:val="22"/>
                <w:szCs w:val="22"/>
                <w:rFonts w:ascii="Calibri" w:cs="Calibri" w:eastAsia="Calibri" w:hAnsi="Calibri"/>
              </w:rPr>
              <w:t xml:space="preserve">Data</w:t>
            </w:r>
          </w:p>
        </w:tc>
        <w:tc>
          <w:tcPr>
            <w:shd w:color="1e3a8a" w:val="solid"/>
            <w:vAlign w:val="center"/>
          </w:tcPr>
          <w:p>
            <w:r>
              <w:rPr>
                <w:b/>
                <w:bCs/>
                <w:color w:val="ffffff"/>
                <w:sz w:val="22"/>
                <w:szCs w:val="22"/>
                <w:rFonts w:ascii="Calibri" w:cs="Calibri" w:eastAsia="Calibri" w:hAnsi="Calibri"/>
              </w:rPr>
              <w:t xml:space="preserve">Autor</w:t>
            </w:r>
          </w:p>
        </w:tc>
        <w:tc>
          <w:tcPr>
            <w:shd w:color="1e3a8a" w:val="solid"/>
            <w:vAlign w:val="center"/>
          </w:tcPr>
          <w:p>
            <w:r>
              <w:rPr>
                <w:b/>
                <w:bCs/>
                <w:color w:val="ffffff"/>
                <w:sz w:val="22"/>
                <w:szCs w:val="22"/>
                <w:rFonts w:ascii="Calibri" w:cs="Calibri" w:eastAsia="Calibri" w:hAnsi="Calibri"/>
              </w:rPr>
              <w:t xml:space="preserve">Alterações</w:t>
            </w:r>
          </w:p>
        </w:tc>
        <w:tc>
          <w:tcPr>
            <w:shd w:color="1e3a8a" w:val="solid"/>
            <w:vAlign w:val="center"/>
          </w:tcPr>
          <w:p>
            <w:r>
              <w:rPr>
                <w:b/>
                <w:bCs/>
                <w:color w:val="ffffff"/>
                <w:sz w:val="22"/>
                <w:szCs w:val="22"/>
                <w:rFonts w:ascii="Calibri" w:cs="Calibri" w:eastAsia="Calibri" w:hAnsi="Calibri"/>
              </w:rPr>
              <w:t xml:space="preserve">Aprovado por</w:t>
            </w:r>
          </w:p>
        </w:tc>
      </w:tr>
      <w:tr>
        <w:tc>
          <w:p>
            <w:r>
              <w:rPr>
                <w:color w:val="374151"/>
                <w:sz w:val="22"/>
                <w:szCs w:val="22"/>
                <w:rFonts w:ascii="Calibri" w:cs="Calibri" w:eastAsia="Calibri" w:hAnsi="Calibri"/>
              </w:rPr>
              <w:t xml:space="preserve">1.0</w:t>
            </w:r>
          </w:p>
        </w:tc>
        <w:tc>
          <w:p>
            <w:r>
              <w:rPr>
                <w:color w:val="374151"/>
                <w:sz w:val="22"/>
                <w:szCs w:val="22"/>
                <w:rFonts w:ascii="Calibri" w:cs="Calibri" w:eastAsia="Calibri" w:hAnsi="Calibri"/>
              </w:rPr>
            </w:r>
          </w:p>
        </w:tc>
        <w:tc>
          <w:p>
            <w:r>
              <w:rPr>
                <w:color w:val="374151"/>
                <w:sz w:val="22"/>
                <w:szCs w:val="22"/>
                <w:rFonts w:ascii="Calibri" w:cs="Calibri" w:eastAsia="Calibri" w:hAnsi="Calibri"/>
              </w:rPr>
              <w:t xml:space="preserve">[Autor]</w:t>
            </w:r>
          </w:p>
        </w:tc>
        <w:tc>
          <w:p>
            <w:r>
              <w:rPr>
                <w:color w:val="374151"/>
                <w:sz w:val="22"/>
                <w:szCs w:val="22"/>
                <w:rFonts w:ascii="Calibri" w:cs="Calibri" w:eastAsia="Calibri" w:hAnsi="Calibri"/>
              </w:rPr>
              <w:t xml:space="preserve">Versão inicial</w:t>
            </w:r>
          </w:p>
        </w:tc>
        <w:tc>
          <w:p>
            <w:r>
              <w:rPr>
                <w:color w:val="374151"/>
                <w:sz w:val="22"/>
                <w:szCs w:val="22"/>
                <w:rFonts w:ascii="Calibri" w:cs="Calibri" w:eastAsia="Calibri" w:hAnsi="Calibri"/>
              </w:rPr>
              <w:t xml:space="preserve">[Aprovador]</w:t>
            </w:r>
          </w:p>
        </w:tc>
      </w:tr>
    </w:tbl>
    <w:p>
      <w:r>
        <w:br w:type="page"/>
      </w:r>
    </w:p>
    <w:p>
      <w:pPr>
        <w:pStyle w:val="Heading2"/>
        <w:spacing w:before="320" w:after="160"/>
      </w:pPr>
      <w:r>
        <w:rPr>
          <w:b/>
          <w:bCs/>
          <w:color w:val="1e3a8a"/>
          <w:sz w:val="28"/>
          <w:szCs w:val="28"/>
          <w:rFonts w:ascii="Calibri" w:cs="Calibri" w:eastAsia="Calibri" w:hAnsi="Calibri"/>
        </w:rPr>
        <w:t xml:space="preserve">Índice</w:t>
      </w:r>
    </w:p>
    <w:sdt>
      <w:sdtPr>
        <w:alias w:val="Índice"/>
      </w:sdtPr>
      <w:sdtContent>
        <w:p>
          <w:r>
            <w:fldChar w:fldCharType="begin" w:dirty="true"/>
            <w:instrText xml:space="preserve">TOC \h \o "1-3" \t "undefined,1,undefined,2,undefined,3"</w:instrText>
            <w:fldChar w:fldCharType="separate"/>
          </w:r>
        </w:p>
        <w:p>
          <w:r>
            <w:fldChar w:fldCharType="end"/>
          </w:r>
        </w:p>
      </w:sdtContent>
    </w:sdt>
    <w:p>
      <w:r>
        <w:br w:type="page"/>
      </w:r>
    </w:p>
    <w:p>
      <w:pPr>
        <w:pStyle w:val="Heading1"/>
        <w:spacing w:before="400" w:after="200"/>
      </w:pPr>
      <w:r>
        <w:rPr>
          <w:b/>
          <w:bCs/>
          <w:color w:val="1e3a8a"/>
          <w:sz w:val="32"/>
          <w:szCs w:val="32"/>
          <w:rFonts w:ascii="Calibri" w:cs="Calibri" w:eastAsia="Calibri" w:hAnsi="Calibri"/>
        </w:rPr>
        <w:t xml:space="preserve">1. Objetivo</w:t>
      </w:r>
    </w:p>
    <w:p>
      <w:pPr>
        <w:spacing w:after="160"/>
      </w:pPr>
      <w:r>
        <w:rPr>
          <w:color w:val="374151"/>
          <w:sz w:val="22"/>
          <w:szCs w:val="22"/>
          <w:rFonts w:ascii="Calibri" w:cs="Calibri" w:eastAsia="Calibri" w:hAnsi="Calibri"/>
        </w:rPr>
        <w:t xml:space="preserve">A presente política de gestão de vulnerabilidades estabelece os processos, responsabilidades e métricas para a identificação, classificação, priorização e remediação de vulnerabilidades nos sistemas de informação de [Nome da organização], em conformidade com o Decreto-Lei n.º 125/2025 que transpõe a Diretiva (UE) 2022/2555 (NIS2).</w:t>
      </w:r>
    </w:p>
    <w:p>
      <w:pPr>
        <w:spacing w:after="160"/>
      </w:pPr>
      <w:r>
        <w:rPr>
          <w:color w:val="374151"/>
          <w:sz w:val="22"/>
          <w:szCs w:val="22"/>
          <w:rFonts w:ascii="Calibri" w:cs="Calibri" w:eastAsia="Calibri" w:hAnsi="Calibri"/>
        </w:rPr>
        <w:t xml:space="preserve">A gestão proativa de vulnerabilidades é um processo contínuo que permite identificar e corrigir fraquezas nos sistemas antes que sejam exploradas por atacantes. Uma vulnerabilidade não corrigida é uma porta de entrada para incidentes de cibersegurança que podem ter impacto significativo na continuidade do negócio, na reputação e na conformidade legal da organização.</w:t>
      </w:r>
    </w:p>
    <w:p>
      <w:pPr>
        <w:spacing w:after="160"/>
      </w:pPr>
      <w:r>
        <w:rPr>
          <w:color w:val="374151"/>
          <w:sz w:val="22"/>
          <w:szCs w:val="22"/>
          <w:rFonts w:ascii="Calibri" w:cs="Calibri" w:eastAsia="Calibri" w:hAnsi="Calibri"/>
        </w:rPr>
        <w:t xml:space="preserve">Esta política também cobre a divulgação coordenada de vulnerabilidades (coordinated vulnerability disclosure - CVD), conforme previsto nos Art. 38.º e 39.º do DL 125/2025, estabelecendo como a organização recebe, processa e responde a relatórios de vulnerabilidades submetidos por investigadores externos.</w:t>
      </w:r>
    </w:p>
    <w:p>
      <w:pPr>
        <w:shd w:color="dbeafe" w:val="solid"/>
        <w:spacing w:before="160" w:after="160"/>
        <w:ind w:left="360" w:right="360"/>
      </w:pPr>
      <w:r>
        <w:rPr>
          <w:i/>
          <w:iCs/>
          <w:color w:val="1e3a8a"/>
          <w:sz w:val="22"/>
          <w:szCs w:val="22"/>
          <w:rFonts w:ascii="Calibri" w:cs="Calibri" w:eastAsia="Calibri" w:hAnsi="Calibri"/>
        </w:rPr>
        <w:t xml:space="preserve">Art. 27.º alínea d) e Art. 38.º e 39.º do DL 125/2025 - segurança no desenvolvimento e manutenção de sistemas, gestão e divulgação coordenada de vulnerabilidades.</w:t>
      </w:r>
    </w:p>
    <w:p>
      <w:pPr>
        <w:pStyle w:val="Heading1"/>
        <w:spacing w:before="400" w:after="200"/>
      </w:pPr>
      <w:r>
        <w:rPr>
          <w:b/>
          <w:bCs/>
          <w:color w:val="1e3a8a"/>
          <w:sz w:val="32"/>
          <w:szCs w:val="32"/>
          <w:rFonts w:ascii="Calibri" w:cs="Calibri" w:eastAsia="Calibri" w:hAnsi="Calibri"/>
        </w:rPr>
        <w:t xml:space="preserve">2. Âmbito de aplicação</w:t>
      </w:r>
    </w:p>
    <w:p>
      <w:pPr>
        <w:spacing w:after="160"/>
      </w:pPr>
      <w:r>
        <w:rPr>
          <w:color w:val="374151"/>
          <w:sz w:val="22"/>
          <w:szCs w:val="22"/>
          <w:rFonts w:ascii="Calibri" w:cs="Calibri" w:eastAsia="Calibri" w:hAnsi="Calibri"/>
        </w:rPr>
        <w:t xml:space="preserve">Esta política aplica-se a:</w:t>
      </w:r>
    </w:p>
    <w:p>
      <w:pPr>
        <w:pStyle w:val="ListParagraph"/>
        <w:numPr>
          <w:ilvl w:val="0"/>
          <w:numId w:val="1"/>
        </w:numPr>
        <w:spacing w:after="80"/>
      </w:pPr>
      <w:r>
        <w:rPr>
          <w:color w:val="374151"/>
          <w:sz w:val="22"/>
          <w:szCs w:val="22"/>
          <w:rFonts w:ascii="Calibri" w:cs="Calibri" w:eastAsia="Calibri" w:hAnsi="Calibri"/>
        </w:rPr>
        <w:t xml:space="preserve">Todos os sistemas de informação, servidores, aplicações e dispositivos de rede da organização</w:t>
      </w:r>
    </w:p>
    <w:p>
      <w:pPr>
        <w:pStyle w:val="ListParagraph"/>
        <w:numPr>
          <w:ilvl w:val="0"/>
          <w:numId w:val="1"/>
        </w:numPr>
        <w:spacing w:after="80"/>
      </w:pPr>
      <w:r>
        <w:rPr>
          <w:color w:val="374151"/>
          <w:sz w:val="22"/>
          <w:szCs w:val="22"/>
          <w:rFonts w:ascii="Calibri" w:cs="Calibri" w:eastAsia="Calibri" w:hAnsi="Calibri"/>
        </w:rPr>
        <w:t xml:space="preserve">Ambientes de produção, desenvolvimento, teste e demonstração</w:t>
      </w:r>
    </w:p>
    <w:p>
      <w:pPr>
        <w:pStyle w:val="ListParagraph"/>
        <w:numPr>
          <w:ilvl w:val="0"/>
          <w:numId w:val="1"/>
        </w:numPr>
        <w:spacing w:after="80"/>
      </w:pPr>
      <w:r>
        <w:rPr>
          <w:color w:val="374151"/>
          <w:sz w:val="22"/>
          <w:szCs w:val="22"/>
          <w:rFonts w:ascii="Calibri" w:cs="Calibri" w:eastAsia="Calibri" w:hAnsi="Calibri"/>
        </w:rPr>
        <w:t xml:space="preserve">Sistemas em nuvem (IaaS, PaaS, SaaS) utilizados pela organização</w:t>
      </w:r>
    </w:p>
    <w:p>
      <w:pPr>
        <w:pStyle w:val="ListParagraph"/>
        <w:numPr>
          <w:ilvl w:val="0"/>
          <w:numId w:val="1"/>
        </w:numPr>
        <w:spacing w:after="80"/>
      </w:pPr>
      <w:r>
        <w:rPr>
          <w:color w:val="374151"/>
          <w:sz w:val="22"/>
          <w:szCs w:val="22"/>
          <w:rFonts w:ascii="Calibri" w:cs="Calibri" w:eastAsia="Calibri" w:hAnsi="Calibri"/>
        </w:rPr>
        <w:t xml:space="preserve">Sistemas de controlo industrial (OT/ICS) e dispositivos IoT quando aplicável</w:t>
      </w:r>
    </w:p>
    <w:p>
      <w:pPr>
        <w:pStyle w:val="ListParagraph"/>
        <w:numPr>
          <w:ilvl w:val="0"/>
          <w:numId w:val="1"/>
        </w:numPr>
        <w:spacing w:after="80"/>
      </w:pPr>
      <w:r>
        <w:rPr>
          <w:color w:val="374151"/>
          <w:sz w:val="22"/>
          <w:szCs w:val="22"/>
          <w:rFonts w:ascii="Calibri" w:cs="Calibri" w:eastAsia="Calibri" w:hAnsi="Calibri"/>
        </w:rPr>
        <w:t xml:space="preserve">Software desenvolvido internamente e aplicações de terceiros utilizadas</w:t>
      </w:r>
    </w:p>
    <w:p>
      <w:pPr>
        <w:pStyle w:val="ListParagraph"/>
        <w:numPr>
          <w:ilvl w:val="0"/>
          <w:numId w:val="1"/>
        </w:numPr>
        <w:spacing w:after="80"/>
      </w:pPr>
      <w:r>
        <w:rPr>
          <w:color w:val="374151"/>
          <w:sz w:val="22"/>
          <w:szCs w:val="22"/>
          <w:rFonts w:ascii="Calibri" w:cs="Calibri" w:eastAsia="Calibri" w:hAnsi="Calibri"/>
        </w:rPr>
        <w:t xml:space="preserve">Dispositivos de utilizador final (laptops, smartphones, tablets)</w:t>
      </w:r>
    </w:p>
    <w:p>
      <w:pPr>
        <w:spacing w:after="160"/>
      </w:pPr>
      <w:r>
        <w:rPr>
          <w:color w:val="374151"/>
          <w:sz w:val="22"/>
          <w:szCs w:val="22"/>
          <w:rFonts w:ascii="Calibri" w:cs="Calibri" w:eastAsia="Calibri" w:hAnsi="Calibri"/>
        </w:rPr>
        <w:t xml:space="preserve">A política abrange todas as fases do ciclo de vida dos sistemas, desde a instalação até ao descomissionamento. A gestão de vulnerabilidades é uma responsabilidade partilhada entre o responsável de cibersegurança, o departamento de TI e os responsáveis de cada sistema.</w:t>
      </w:r>
    </w:p>
    <w:p>
      <w:r>
        <w:br w:type="page"/>
      </w:r>
    </w:p>
    <w:p>
      <w:pPr>
        <w:pStyle w:val="Heading1"/>
        <w:spacing w:before="400" w:after="200"/>
      </w:pPr>
      <w:r>
        <w:rPr>
          <w:b/>
          <w:bCs/>
          <w:color w:val="1e3a8a"/>
          <w:sz w:val="32"/>
          <w:szCs w:val="32"/>
          <w:rFonts w:ascii="Calibri" w:cs="Calibri" w:eastAsia="Calibri" w:hAnsi="Calibri"/>
        </w:rPr>
        <w:t xml:space="preserve">3. Identificação de vulnerabilidades</w:t>
      </w:r>
    </w:p>
    <w:p>
      <w:pPr>
        <w:spacing w:after="160"/>
      </w:pPr>
      <w:r>
        <w:rPr>
          <w:color w:val="374151"/>
          <w:sz w:val="22"/>
          <w:szCs w:val="22"/>
          <w:rFonts w:ascii="Calibri" w:cs="Calibri" w:eastAsia="Calibri" w:hAnsi="Calibri"/>
        </w:rPr>
        <w:t xml:space="preserve">A identificação de vulnerabilidades é o primeiro passo do processo de gestão. A organização utiliza múltiplas fontes e métodos para garantir uma cobertura abrangente de todas as vulnerabilidades relevantes, combinando ferramentas automáticas com processos manuais e fontes de inteligência externas.</w:t>
      </w:r>
    </w:p>
    <w:p>
      <w:pPr>
        <w:pStyle w:val="Heading2"/>
        <w:spacing w:before="320" w:after="160"/>
      </w:pPr>
      <w:r>
        <w:rPr>
          <w:b/>
          <w:bCs/>
          <w:color w:val="1e3a8a"/>
          <w:sz w:val="28"/>
          <w:szCs w:val="28"/>
          <w:rFonts w:ascii="Calibri" w:cs="Calibri" w:eastAsia="Calibri" w:hAnsi="Calibri"/>
        </w:rPr>
        <w:t xml:space="preserve">3.1. Scanning de vulnerabilidades</w:t>
      </w:r>
    </w:p>
    <w:p>
      <w:pPr>
        <w:spacing w:after="160"/>
      </w:pPr>
      <w:r>
        <w:rPr>
          <w:color w:val="374151"/>
          <w:sz w:val="22"/>
          <w:szCs w:val="22"/>
          <w:rFonts w:ascii="Calibri" w:cs="Calibri" w:eastAsia="Calibri" w:hAnsi="Calibri"/>
        </w:rPr>
        <w:t xml:space="preserve">A organização realiza scanning automatizado de vulnerabilidades com ferramentas aprovadas, cobrindo todos os sistemas em âmbito. O scanning é realizado de forma autenticada, para deteção de vulnerabilidades que requerem credenciais, e não autenticada, para simular a perspetiva de um atacante externo.</w:t>
      </w:r>
    </w:p>
    <w:p>
      <w:pPr>
        <w:pStyle w:val="ListParagraph"/>
        <w:numPr>
          <w:ilvl w:val="0"/>
          <w:numId w:val="1"/>
        </w:numPr>
        <w:spacing w:after="80"/>
      </w:pPr>
      <w:r>
        <w:rPr>
          <w:color w:val="374151"/>
          <w:sz w:val="22"/>
          <w:szCs w:val="22"/>
          <w:rFonts w:ascii="Calibri" w:cs="Calibri" w:eastAsia="Calibri" w:hAnsi="Calibri"/>
        </w:rPr>
        <w:t xml:space="preserve">Sistemas expostos à internet: scanning semanal obrigatório</w:t>
      </w:r>
    </w:p>
    <w:p>
      <w:pPr>
        <w:pStyle w:val="ListParagraph"/>
        <w:numPr>
          <w:ilvl w:val="0"/>
          <w:numId w:val="1"/>
        </w:numPr>
        <w:spacing w:after="80"/>
      </w:pPr>
      <w:r>
        <w:rPr>
          <w:color w:val="374151"/>
          <w:sz w:val="22"/>
          <w:szCs w:val="22"/>
          <w:rFonts w:ascii="Calibri" w:cs="Calibri" w:eastAsia="Calibri" w:hAnsi="Calibri"/>
        </w:rPr>
        <w:t xml:space="preserve">Sistemas internos críticos: scanning mensal</w:t>
      </w:r>
    </w:p>
    <w:p>
      <w:pPr>
        <w:pStyle w:val="ListParagraph"/>
        <w:numPr>
          <w:ilvl w:val="0"/>
          <w:numId w:val="1"/>
        </w:numPr>
        <w:spacing w:after="80"/>
      </w:pPr>
      <w:r>
        <w:rPr>
          <w:color w:val="374151"/>
          <w:sz w:val="22"/>
          <w:szCs w:val="22"/>
          <w:rFonts w:ascii="Calibri" w:cs="Calibri" w:eastAsia="Calibri" w:hAnsi="Calibri"/>
        </w:rPr>
        <w:t xml:space="preserve">Outros sistemas internos: scanning trimestral</w:t>
      </w:r>
    </w:p>
    <w:p>
      <w:pPr>
        <w:pStyle w:val="ListParagraph"/>
        <w:numPr>
          <w:ilvl w:val="0"/>
          <w:numId w:val="1"/>
        </w:numPr>
        <w:spacing w:after="80"/>
      </w:pPr>
      <w:r>
        <w:rPr>
          <w:color w:val="374151"/>
          <w:sz w:val="22"/>
          <w:szCs w:val="22"/>
          <w:rFonts w:ascii="Calibri" w:cs="Calibri" w:eastAsia="Calibri" w:hAnsi="Calibri"/>
        </w:rPr>
        <w:t xml:space="preserve">Após alterações significativas: scanning imediato antes de colocação em produção</w:t>
      </w:r>
    </w:p>
    <w:p>
      <w:pPr>
        <w:pStyle w:val="ListParagraph"/>
        <w:numPr>
          <w:ilvl w:val="0"/>
          <w:numId w:val="1"/>
        </w:numPr>
        <w:spacing w:after="80"/>
      </w:pPr>
      <w:r>
        <w:rPr>
          <w:color w:val="374151"/>
          <w:sz w:val="22"/>
          <w:szCs w:val="22"/>
          <w:rFonts w:ascii="Calibri" w:cs="Calibri" w:eastAsia="Calibri" w:hAnsi="Calibri"/>
        </w:rPr>
        <w:t xml:space="preserve">Scanning de rede para descoberta de novos dispositivos: contínuo</w:t>
      </w:r>
    </w:p>
    <w:p>
      <w:pPr>
        <w:pStyle w:val="Heading2"/>
        <w:spacing w:before="320" w:after="160"/>
      </w:pPr>
      <w:r>
        <w:rPr>
          <w:b/>
          <w:bCs/>
          <w:color w:val="1e3a8a"/>
          <w:sz w:val="28"/>
          <w:szCs w:val="28"/>
          <w:rFonts w:ascii="Calibri" w:cs="Calibri" w:eastAsia="Calibri" w:hAnsi="Calibri"/>
        </w:rPr>
        <w:t xml:space="preserve">3.2. Fontes de inteligência de vulnerabilidades</w:t>
      </w:r>
    </w:p>
    <w:p>
      <w:pPr>
        <w:pStyle w:val="ListParagraph"/>
        <w:numPr>
          <w:ilvl w:val="0"/>
          <w:numId w:val="1"/>
        </w:numPr>
        <w:spacing w:after="80"/>
      </w:pPr>
      <w:r>
        <w:rPr>
          <w:color w:val="374151"/>
          <w:sz w:val="22"/>
          <w:szCs w:val="22"/>
          <w:rFonts w:ascii="Calibri" w:cs="Calibri" w:eastAsia="Calibri" w:hAnsi="Calibri"/>
        </w:rPr>
        <w:t xml:space="preserve">National Vulnerability Database (NVD) do NIST</w:t>
      </w:r>
    </w:p>
    <w:p>
      <w:pPr>
        <w:pStyle w:val="ListParagraph"/>
        <w:numPr>
          <w:ilvl w:val="0"/>
          <w:numId w:val="1"/>
        </w:numPr>
        <w:spacing w:after="80"/>
      </w:pPr>
      <w:r>
        <w:rPr>
          <w:color w:val="374151"/>
          <w:sz w:val="22"/>
          <w:szCs w:val="22"/>
          <w:rFonts w:ascii="Calibri" w:cs="Calibri" w:eastAsia="Calibri" w:hAnsi="Calibri"/>
        </w:rPr>
        <w:t xml:space="preserve">Common Vulnerabilities and Exposures (CVE) da MITRE</w:t>
      </w:r>
    </w:p>
    <w:p>
      <w:pPr>
        <w:pStyle w:val="ListParagraph"/>
        <w:numPr>
          <w:ilvl w:val="0"/>
          <w:numId w:val="1"/>
        </w:numPr>
        <w:spacing w:after="80"/>
      </w:pPr>
      <w:r>
        <w:rPr>
          <w:color w:val="374151"/>
          <w:sz w:val="22"/>
          <w:szCs w:val="22"/>
          <w:rFonts w:ascii="Calibri" w:cs="Calibri" w:eastAsia="Calibri" w:hAnsi="Calibri"/>
        </w:rPr>
        <w:t xml:space="preserve">Boletins de segurança dos fabricantes de software e hardware utilizados</w:t>
      </w:r>
    </w:p>
    <w:p>
      <w:pPr>
        <w:pStyle w:val="ListParagraph"/>
        <w:numPr>
          <w:ilvl w:val="0"/>
          <w:numId w:val="1"/>
        </w:numPr>
        <w:spacing w:after="80"/>
      </w:pPr>
      <w:r>
        <w:rPr>
          <w:color w:val="374151"/>
          <w:sz w:val="22"/>
          <w:szCs w:val="22"/>
          <w:rFonts w:ascii="Calibri" w:cs="Calibri" w:eastAsia="Calibri" w:hAnsi="Calibri"/>
        </w:rPr>
        <w:t xml:space="preserve">Feeds de threat intelligence subscritos pela organização</w:t>
      </w:r>
    </w:p>
    <w:p>
      <w:pPr>
        <w:pStyle w:val="ListParagraph"/>
        <w:numPr>
          <w:ilvl w:val="0"/>
          <w:numId w:val="1"/>
        </w:numPr>
        <w:spacing w:after="80"/>
      </w:pPr>
      <w:r>
        <w:rPr>
          <w:color w:val="374151"/>
          <w:sz w:val="22"/>
          <w:szCs w:val="22"/>
          <w:rFonts w:ascii="Calibri" w:cs="Calibri" w:eastAsia="Calibri" w:hAnsi="Calibri"/>
        </w:rPr>
        <w:t xml:space="preserve">CERT/CC e outros CERTs nacionais e setoriais relevantes</w:t>
      </w:r>
    </w:p>
    <w:p>
      <w:pPr>
        <w:pStyle w:val="ListParagraph"/>
        <w:numPr>
          <w:ilvl w:val="0"/>
          <w:numId w:val="1"/>
        </w:numPr>
        <w:spacing w:after="80"/>
      </w:pPr>
      <w:r>
        <w:rPr>
          <w:color w:val="374151"/>
          <w:sz w:val="22"/>
          <w:szCs w:val="22"/>
          <w:rFonts w:ascii="Calibri" w:cs="Calibri" w:eastAsia="Calibri" w:hAnsi="Calibri"/>
        </w:rPr>
        <w:t xml:space="preserve">Alertas e avisos do Centro Nacional de Cibersegurança (CNCS)</w:t>
      </w:r>
    </w:p>
    <w:p>
      <w:pPr>
        <w:pStyle w:val="ListParagraph"/>
        <w:numPr>
          <w:ilvl w:val="0"/>
          <w:numId w:val="1"/>
        </w:numPr>
        <w:spacing w:after="80"/>
      </w:pPr>
      <w:r>
        <w:rPr>
          <w:color w:val="374151"/>
          <w:sz w:val="22"/>
          <w:szCs w:val="22"/>
          <w:rFonts w:ascii="Calibri" w:cs="Calibri" w:eastAsia="Calibri" w:hAnsi="Calibri"/>
        </w:rPr>
        <w:t xml:space="preserve">Comunidades de segurança e conferências de referência (Black Hat, DEF CON)</w:t>
      </w:r>
    </w:p>
    <w:p>
      <w:pPr>
        <w:pStyle w:val="Heading2"/>
        <w:spacing w:before="320" w:after="160"/>
      </w:pPr>
      <w:r>
        <w:rPr>
          <w:b/>
          <w:bCs/>
          <w:color w:val="1e3a8a"/>
          <w:sz w:val="28"/>
          <w:szCs w:val="28"/>
          <w:rFonts w:ascii="Calibri" w:cs="Calibri" w:eastAsia="Calibri" w:hAnsi="Calibri"/>
        </w:rPr>
        <w:t xml:space="preserve">3.3. Testes de penetração</w:t>
      </w:r>
    </w:p>
    <w:p>
      <w:pPr>
        <w:spacing w:after="160"/>
      </w:pPr>
      <w:r>
        <w:rPr>
          <w:color w:val="374151"/>
          <w:sz w:val="22"/>
          <w:szCs w:val="22"/>
          <w:rFonts w:ascii="Calibri" w:cs="Calibri" w:eastAsia="Calibri" w:hAnsi="Calibri"/>
        </w:rPr>
        <w:t xml:space="preserve">Para além do scanning automatizado, a organização realiza testes de penetração conduzidos por profissionais certificados, que combinam técnicas manuais e automáticas para identificar vulnerabilidades de maior complexidade que ferramentas automáticas não detetam. Os testes de penetração fornecem uma perspetiva realista da capacidade de ataque à organização.</w:t>
      </w:r>
    </w:p>
    <w:p>
      <w:pPr>
        <w:pStyle w:val="ListParagraph"/>
        <w:numPr>
          <w:ilvl w:val="0"/>
          <w:numId w:val="1"/>
        </w:numPr>
        <w:spacing w:after="80"/>
      </w:pPr>
      <w:r>
        <w:rPr>
          <w:color w:val="374151"/>
          <w:sz w:val="22"/>
          <w:szCs w:val="22"/>
          <w:rFonts w:ascii="Calibri" w:cs="Calibri" w:eastAsia="Calibri" w:hAnsi="Calibri"/>
        </w:rPr>
        <w:t xml:space="preserve">Testes de penetração externos (perímetro): pelo menos anualmente</w:t>
      </w:r>
    </w:p>
    <w:p>
      <w:pPr>
        <w:pStyle w:val="ListParagraph"/>
        <w:numPr>
          <w:ilvl w:val="0"/>
          <w:numId w:val="1"/>
        </w:numPr>
        <w:spacing w:after="80"/>
      </w:pPr>
      <w:r>
        <w:rPr>
          <w:color w:val="374151"/>
          <w:sz w:val="22"/>
          <w:szCs w:val="22"/>
          <w:rFonts w:ascii="Calibri" w:cs="Calibri" w:eastAsia="Calibri" w:hAnsi="Calibri"/>
        </w:rPr>
        <w:t xml:space="preserve">Testes de penetração internos (movimentos laterais): pelo menos bienalmente</w:t>
      </w:r>
    </w:p>
    <w:p>
      <w:pPr>
        <w:pStyle w:val="ListParagraph"/>
        <w:numPr>
          <w:ilvl w:val="0"/>
          <w:numId w:val="1"/>
        </w:numPr>
        <w:spacing w:after="80"/>
      </w:pPr>
      <w:r>
        <w:rPr>
          <w:color w:val="374151"/>
          <w:sz w:val="22"/>
          <w:szCs w:val="22"/>
          <w:rFonts w:ascii="Calibri" w:cs="Calibri" w:eastAsia="Calibri" w:hAnsi="Calibri"/>
        </w:rPr>
        <w:t xml:space="preserve">Testes de aplicações web críticas: pelo menos anualmente ou após alterações significativas</w:t>
      </w:r>
    </w:p>
    <w:p>
      <w:pPr>
        <w:pStyle w:val="ListParagraph"/>
        <w:numPr>
          <w:ilvl w:val="0"/>
          <w:numId w:val="1"/>
        </w:numPr>
        <w:spacing w:after="80"/>
      </w:pPr>
      <w:r>
        <w:rPr>
          <w:color w:val="374151"/>
          <w:sz w:val="22"/>
          <w:szCs w:val="22"/>
          <w:rFonts w:ascii="Calibri" w:cs="Calibri" w:eastAsia="Calibri" w:hAnsi="Calibri"/>
        </w:rPr>
        <w:t xml:space="preserve">Red team exercises: bienalmente para organizações de maior dimensão</w:t>
      </w:r>
    </w:p>
    <w:p>
      <w:pPr>
        <w:pStyle w:val="Heading1"/>
        <w:spacing w:before="400" w:after="200"/>
      </w:pPr>
      <w:r>
        <w:rPr>
          <w:b/>
          <w:bCs/>
          <w:color w:val="1e3a8a"/>
          <w:sz w:val="32"/>
          <w:szCs w:val="32"/>
          <w:rFonts w:ascii="Calibri" w:cs="Calibri" w:eastAsia="Calibri" w:hAnsi="Calibri"/>
        </w:rPr>
        <w:t xml:space="preserve">4. Classificação de vulnerabilidades (CVSS)</w:t>
      </w:r>
    </w:p>
    <w:p>
      <w:pPr>
        <w:spacing w:after="160"/>
      </w:pPr>
      <w:r>
        <w:rPr>
          <w:color w:val="374151"/>
          <w:sz w:val="22"/>
          <w:szCs w:val="22"/>
          <w:rFonts w:ascii="Calibri" w:cs="Calibri" w:eastAsia="Calibri" w:hAnsi="Calibri"/>
        </w:rPr>
        <w:t xml:space="preserve">A organização utiliza o Common Vulnerability Scoring System (CVSS) versão 3.1 ou superior como referência primária para a avaliação da gravidade das vulnerabilidades. O CVSS fornece uma pontuação normalizada de 0 a 10, permitindo comparar e priorizar vulnerabilidades de forma consistente e objetiva.</w:t>
      </w:r>
    </w:p>
    <w:p>
      <w:pPr>
        <w:spacing w:after="160"/>
      </w:pPr>
      <w:r>
        <w:rPr>
          <w:color w:val="374151"/>
          <w:sz w:val="22"/>
          <w:szCs w:val="22"/>
          <w:rFonts w:ascii="Calibri" w:cs="Calibri" w:eastAsia="Calibri" w:hAnsi="Calibri"/>
        </w:rPr>
        <w:t xml:space="preserve">Os níveis de gravidade CVSS e a respetiva pontuação são:</w:t>
      </w:r>
    </w:p>
    <w:p>
      <w:pPr>
        <w:pStyle w:val="ListParagraph"/>
        <w:numPr>
          <w:ilvl w:val="0"/>
          <w:numId w:val="1"/>
        </w:numPr>
        <w:spacing w:after="80"/>
      </w:pPr>
      <w:r>
        <w:rPr>
          <w:color w:val="374151"/>
          <w:sz w:val="22"/>
          <w:szCs w:val="22"/>
          <w:rFonts w:ascii="Calibri" w:cs="Calibri" w:eastAsia="Calibri" w:hAnsi="Calibri"/>
        </w:rPr>
        <w:t xml:space="preserve">Critica (Critical): pontuação CVSS de 9.0 a 10.0 - risco máximo, exploração imediata possível</w:t>
      </w:r>
    </w:p>
    <w:p>
      <w:pPr>
        <w:pStyle w:val="ListParagraph"/>
        <w:numPr>
          <w:ilvl w:val="0"/>
          <w:numId w:val="1"/>
        </w:numPr>
        <w:spacing w:after="80"/>
      </w:pPr>
      <w:r>
        <w:rPr>
          <w:color w:val="374151"/>
          <w:sz w:val="22"/>
          <w:szCs w:val="22"/>
          <w:rFonts w:ascii="Calibri" w:cs="Calibri" w:eastAsia="Calibri" w:hAnsi="Calibri"/>
        </w:rPr>
        <w:t xml:space="preserve">Alta (High): pontuação CVSS de 7.0 a 8.9 - risco elevado, exploração provável</w:t>
      </w:r>
    </w:p>
    <w:p>
      <w:pPr>
        <w:pStyle w:val="ListParagraph"/>
        <w:numPr>
          <w:ilvl w:val="0"/>
          <w:numId w:val="1"/>
        </w:numPr>
        <w:spacing w:after="80"/>
      </w:pPr>
      <w:r>
        <w:rPr>
          <w:color w:val="374151"/>
          <w:sz w:val="22"/>
          <w:szCs w:val="22"/>
          <w:rFonts w:ascii="Calibri" w:cs="Calibri" w:eastAsia="Calibri" w:hAnsi="Calibri"/>
        </w:rPr>
        <w:t xml:space="preserve">Media (Medium): pontuação CVSS de 4.0 a 6.9 - risco moderado, exploração possível</w:t>
      </w:r>
    </w:p>
    <w:p>
      <w:pPr>
        <w:pStyle w:val="ListParagraph"/>
        <w:numPr>
          <w:ilvl w:val="0"/>
          <w:numId w:val="1"/>
        </w:numPr>
        <w:spacing w:after="80"/>
      </w:pPr>
      <w:r>
        <w:rPr>
          <w:color w:val="374151"/>
          <w:sz w:val="22"/>
          <w:szCs w:val="22"/>
          <w:rFonts w:ascii="Calibri" w:cs="Calibri" w:eastAsia="Calibri" w:hAnsi="Calibri"/>
        </w:rPr>
        <w:t xml:space="preserve">Baixa (Low): pontuação CVSS de 0.1 a 3.9 - risco limitado, exploração improvável</w:t>
      </w:r>
    </w:p>
    <w:p>
      <w:pPr>
        <w:pStyle w:val="ListParagraph"/>
        <w:numPr>
          <w:ilvl w:val="0"/>
          <w:numId w:val="1"/>
        </w:numPr>
        <w:spacing w:after="80"/>
      </w:pPr>
      <w:r>
        <w:rPr>
          <w:color w:val="374151"/>
          <w:sz w:val="22"/>
          <w:szCs w:val="22"/>
          <w:rFonts w:ascii="Calibri" w:cs="Calibri" w:eastAsia="Calibri" w:hAnsi="Calibri"/>
        </w:rPr>
        <w:t xml:space="preserve">Informativa (None): pontuação CVSS de 0.0 - sem risco direto</w:t>
      </w:r>
    </w:p>
    <w:p>
      <w:pPr>
        <w:spacing w:after="160"/>
      </w:pPr>
      <w:r>
        <w:rPr>
          <w:color w:val="374151"/>
          <w:sz w:val="22"/>
          <w:szCs w:val="22"/>
          <w:rFonts w:ascii="Calibri" w:cs="Calibri" w:eastAsia="Calibri" w:hAnsi="Calibri"/>
        </w:rPr>
        <w:t xml:space="preserve">A pontuação CVSS base deve ser complementada pela pontuação CVSS temporal (que reflete a disponibilidade de exploits e patches) e pela pontuação CVSS ambiental (que ajusta a gravidade ao contexto específico da organização, como a exposição do sistema e o valor do ativo afetado). A pontuação ajustada ao contexto é a base para a definição de prioridades de remediação.</w:t>
      </w:r>
    </w:p>
    <w:p>
      <w:pPr>
        <w:shd w:color="dbeafe" w:val="solid"/>
        <w:spacing w:before="160" w:after="160"/>
        <w:ind w:left="360" w:right="360"/>
      </w:pPr>
      <w:r>
        <w:rPr>
          <w:i/>
          <w:iCs/>
          <w:color w:val="1e3a8a"/>
          <w:sz w:val="22"/>
          <w:szCs w:val="22"/>
          <w:rFonts w:ascii="Calibri" w:cs="Calibri" w:eastAsia="Calibri" w:hAnsi="Calibri"/>
        </w:rPr>
        <w:t xml:space="preserve">Art. 27.º alínea d) do DL 125/2025 - segurança na aquisição, desenvolvimento e manutenção de sistemas de rede e informação, incluindo a gestão e divulgação de vulnerabilidades.</w:t>
      </w:r>
    </w:p>
    <w:p>
      <w:r>
        <w:br w:type="page"/>
      </w:r>
    </w:p>
    <w:p>
      <w:pPr>
        <w:pStyle w:val="Heading1"/>
        <w:spacing w:before="400" w:after="200"/>
      </w:pPr>
      <w:r>
        <w:rPr>
          <w:b/>
          <w:bCs/>
          <w:color w:val="1e3a8a"/>
          <w:sz w:val="32"/>
          <w:szCs w:val="32"/>
          <w:rFonts w:ascii="Calibri" w:cs="Calibri" w:eastAsia="Calibri" w:hAnsi="Calibri"/>
        </w:rPr>
        <w:t xml:space="preserve">5. SLAs de correção por severidade</w:t>
      </w:r>
    </w:p>
    <w:p>
      <w:pPr>
        <w:spacing w:after="160"/>
      </w:pPr>
      <w:r>
        <w:rPr>
          <w:color w:val="374151"/>
          <w:sz w:val="22"/>
          <w:szCs w:val="22"/>
          <w:rFonts w:ascii="Calibri" w:cs="Calibri" w:eastAsia="Calibri" w:hAnsi="Calibri"/>
        </w:rPr>
        <w:t xml:space="preserve">A organização define Acordos de Nível de Serviço (SLAs) para a remediação de vulnerabilidades, diferenciados por nível de gravidade e pela exposição do sistema afetado. O não cumprimento dos SLAs requer escalada ao responsável de cibersegurança e, para vulnerabilidades críticas e altas, ao órgão de gestão.</w:t>
      </w:r>
    </w:p>
    <w:p>
      <w:pPr>
        <w:spacing w:after="160"/>
      </w:pPr>
      <w:r>
        <w:rPr>
          <w:color w:val="374151"/>
          <w:sz w:val="22"/>
          <w:szCs w:val="22"/>
          <w:rFonts w:ascii="Calibri" w:cs="Calibri" w:eastAsia="Calibri" w:hAnsi="Calibri"/>
        </w:rPr>
        <w:t xml:space="preserve">Os SLAs de remediação definidos são:</w:t>
      </w:r>
    </w:p>
    <w:p>
      <w:pPr>
        <w:pStyle w:val="ListParagraph"/>
        <w:numPr>
          <w:ilvl w:val="0"/>
          <w:numId w:val="1"/>
        </w:numPr>
        <w:spacing w:after="80"/>
      </w:pPr>
      <w:r>
        <w:rPr>
          <w:color w:val="374151"/>
          <w:sz w:val="22"/>
          <w:szCs w:val="22"/>
          <w:rFonts w:ascii="Calibri" w:cs="Calibri" w:eastAsia="Calibri" w:hAnsi="Calibri"/>
        </w:rPr>
        <w:t xml:space="preserve">Critica (CVSS 9.0+): remediação em 24 horas para sistemas expostos à internet; 72 horas para sistemas internos</w:t>
      </w:r>
    </w:p>
    <w:p>
      <w:pPr>
        <w:pStyle w:val="ListParagraph"/>
        <w:numPr>
          <w:ilvl w:val="0"/>
          <w:numId w:val="1"/>
        </w:numPr>
        <w:spacing w:after="80"/>
      </w:pPr>
      <w:r>
        <w:rPr>
          <w:color w:val="374151"/>
          <w:sz w:val="22"/>
          <w:szCs w:val="22"/>
          <w:rFonts w:ascii="Calibri" w:cs="Calibri" w:eastAsia="Calibri" w:hAnsi="Calibri"/>
        </w:rPr>
        <w:t xml:space="preserve">Alta (CVSS 7.0-8.9): remediação em 7 dias para sistemas expostos; 14 dias para sistemas internos</w:t>
      </w:r>
    </w:p>
    <w:p>
      <w:pPr>
        <w:pStyle w:val="ListParagraph"/>
        <w:numPr>
          <w:ilvl w:val="0"/>
          <w:numId w:val="1"/>
        </w:numPr>
        <w:spacing w:after="80"/>
      </w:pPr>
      <w:r>
        <w:rPr>
          <w:color w:val="374151"/>
          <w:sz w:val="22"/>
          <w:szCs w:val="22"/>
          <w:rFonts w:ascii="Calibri" w:cs="Calibri" w:eastAsia="Calibri" w:hAnsi="Calibri"/>
        </w:rPr>
        <w:t xml:space="preserve">Media (CVSS 4.0-6.9): remediação em 30 dias para sistemas expostos; 60 dias para sistemas internos</w:t>
      </w:r>
    </w:p>
    <w:p>
      <w:pPr>
        <w:pStyle w:val="ListParagraph"/>
        <w:numPr>
          <w:ilvl w:val="0"/>
          <w:numId w:val="1"/>
        </w:numPr>
        <w:spacing w:after="80"/>
      </w:pPr>
      <w:r>
        <w:rPr>
          <w:color w:val="374151"/>
          <w:sz w:val="22"/>
          <w:szCs w:val="22"/>
          <w:rFonts w:ascii="Calibri" w:cs="Calibri" w:eastAsia="Calibri" w:hAnsi="Calibri"/>
        </w:rPr>
        <w:t xml:space="preserve">Baixa (CVSS 0.1-3.9): remediação no próximo ciclo de manutenção programado (máximo 90 dias)</w:t>
      </w:r>
    </w:p>
    <w:p>
      <w:pPr>
        <w:pStyle w:val="ListParagraph"/>
        <w:numPr>
          <w:ilvl w:val="0"/>
          <w:numId w:val="1"/>
        </w:numPr>
        <w:spacing w:after="80"/>
      </w:pPr>
      <w:r>
        <w:rPr>
          <w:color w:val="374151"/>
          <w:sz w:val="22"/>
          <w:szCs w:val="22"/>
          <w:rFonts w:ascii="Calibri" w:cs="Calibri" w:eastAsia="Calibri" w:hAnsi="Calibri"/>
        </w:rPr>
        <w:t xml:space="preserve">Exploração ativa confirmada (independentemente do CVSS): remediação em 24 horas</w:t>
      </w:r>
    </w:p>
    <w:p>
      <w:pPr>
        <w:spacing w:after="160"/>
      </w:pPr>
      <w:r>
        <w:rPr>
          <w:color w:val="374151"/>
          <w:sz w:val="22"/>
          <w:szCs w:val="22"/>
          <w:rFonts w:ascii="Calibri" w:cs="Calibri" w:eastAsia="Calibri" w:hAnsi="Calibri"/>
        </w:rPr>
        <w:t xml:space="preserve">Os SLAs referem-se à correção da vulnerabilidade. Quando a correção não é possível no prazo definido (por exemplo, por ausência de patch do fabricante ou por impacto operacional da correção), devem ser implementadas medidas compensatórias (como isolamento de rede, bloqueio de acesso ou monitorização reforçada) e documentadas no registo de riscos com aprovação do responsável de cibersegurança.</w:t>
      </w:r>
    </w:p>
    <w:p>
      <w:pPr>
        <w:pStyle w:val="Heading1"/>
        <w:spacing w:before="400" w:after="200"/>
      </w:pPr>
      <w:r>
        <w:rPr>
          <w:b/>
          <w:bCs/>
          <w:color w:val="1e3a8a"/>
          <w:sz w:val="32"/>
          <w:szCs w:val="32"/>
          <w:rFonts w:ascii="Calibri" w:cs="Calibri" w:eastAsia="Calibri" w:hAnsi="Calibri"/>
        </w:rPr>
        <w:t xml:space="preserve">6. Gestão de patches</w:t>
      </w:r>
    </w:p>
    <w:p>
      <w:pPr>
        <w:spacing w:after="160"/>
      </w:pPr>
      <w:r>
        <w:rPr>
          <w:color w:val="374151"/>
          <w:sz w:val="22"/>
          <w:szCs w:val="22"/>
          <w:rFonts w:ascii="Calibri" w:cs="Calibri" w:eastAsia="Calibri" w:hAnsi="Calibri"/>
        </w:rPr>
        <w:t xml:space="preserve">A gestão de patches é o componente operacional central da gestão de vulnerabilidades. Um patch é uma atualização de software que corrige uma ou mais vulnerabilidades. A organização implementa um processo estruturado de avaliação, teste e implementação de patches, garantindo que as correções são aplicadas atempadamente sem comprometer a estabilidade dos sistemas.</w:t>
      </w:r>
    </w:p>
    <w:p>
      <w:pPr>
        <w:spacing w:after="160"/>
      </w:pPr>
      <w:r>
        <w:rPr>
          <w:color w:val="374151"/>
          <w:sz w:val="22"/>
          <w:szCs w:val="22"/>
          <w:rFonts w:ascii="Calibri" w:cs="Calibri" w:eastAsia="Calibri" w:hAnsi="Calibri"/>
        </w:rPr>
        <w:t xml:space="preserve">O processo de gestão de patches inclui as seguintes fases:</w:t>
      </w:r>
    </w:p>
    <w:p>
      <w:pPr>
        <w:pStyle w:val="ListParagraph"/>
        <w:numPr>
          <w:ilvl w:val="0"/>
          <w:numId w:val="1"/>
        </w:numPr>
        <w:spacing w:after="80"/>
      </w:pPr>
      <w:r>
        <w:rPr>
          <w:color w:val="374151"/>
          <w:sz w:val="22"/>
          <w:szCs w:val="22"/>
          <w:rFonts w:ascii="Calibri" w:cs="Calibri" w:eastAsia="Calibri" w:hAnsi="Calibri"/>
        </w:rPr>
        <w:t xml:space="preserve">Identificação: monitorização de boletins de fabricantes e bases de dados de CVE</w:t>
      </w:r>
    </w:p>
    <w:p>
      <w:pPr>
        <w:pStyle w:val="ListParagraph"/>
        <w:numPr>
          <w:ilvl w:val="0"/>
          <w:numId w:val="1"/>
        </w:numPr>
        <w:spacing w:after="80"/>
      </w:pPr>
      <w:r>
        <w:rPr>
          <w:color w:val="374151"/>
          <w:sz w:val="22"/>
          <w:szCs w:val="22"/>
          <w:rFonts w:ascii="Calibri" w:cs="Calibri" w:eastAsia="Calibri" w:hAnsi="Calibri"/>
        </w:rPr>
        <w:t xml:space="preserve">Avaliação: classificação da criticidade e do impacto nos sistemas em produção</w:t>
      </w:r>
    </w:p>
    <w:p>
      <w:pPr>
        <w:pStyle w:val="ListParagraph"/>
        <w:numPr>
          <w:ilvl w:val="0"/>
          <w:numId w:val="1"/>
        </w:numPr>
        <w:spacing w:after="80"/>
      </w:pPr>
      <w:r>
        <w:rPr>
          <w:color w:val="374151"/>
          <w:sz w:val="22"/>
          <w:szCs w:val="22"/>
          <w:rFonts w:ascii="Calibri" w:cs="Calibri" w:eastAsia="Calibri" w:hAnsi="Calibri"/>
        </w:rPr>
        <w:t xml:space="preserve">Teste: instalação em ambiente de teste e verificação de compatibilidade e estabilidade</w:t>
      </w:r>
    </w:p>
    <w:p>
      <w:pPr>
        <w:pStyle w:val="ListParagraph"/>
        <w:numPr>
          <w:ilvl w:val="0"/>
          <w:numId w:val="1"/>
        </w:numPr>
        <w:spacing w:after="80"/>
      </w:pPr>
      <w:r>
        <w:rPr>
          <w:color w:val="374151"/>
          <w:sz w:val="22"/>
          <w:szCs w:val="22"/>
          <w:rFonts w:ascii="Calibri" w:cs="Calibri" w:eastAsia="Calibri" w:hAnsi="Calibri"/>
        </w:rPr>
        <w:t xml:space="preserve">Aprovação: validação técnica e aprovação do proprietário do sistema para sistemas críticos</w:t>
      </w:r>
    </w:p>
    <w:p>
      <w:pPr>
        <w:pStyle w:val="ListParagraph"/>
        <w:numPr>
          <w:ilvl w:val="0"/>
          <w:numId w:val="1"/>
        </w:numPr>
        <w:spacing w:after="80"/>
      </w:pPr>
      <w:r>
        <w:rPr>
          <w:color w:val="374151"/>
          <w:sz w:val="22"/>
          <w:szCs w:val="22"/>
          <w:rFonts w:ascii="Calibri" w:cs="Calibri" w:eastAsia="Calibri" w:hAnsi="Calibri"/>
        </w:rPr>
        <w:t xml:space="preserve">Implementação: instalação nos sistemas de produção de acordo com o SLA definido</w:t>
      </w:r>
    </w:p>
    <w:p>
      <w:pPr>
        <w:pStyle w:val="ListParagraph"/>
        <w:numPr>
          <w:ilvl w:val="0"/>
          <w:numId w:val="1"/>
        </w:numPr>
        <w:spacing w:after="80"/>
      </w:pPr>
      <w:r>
        <w:rPr>
          <w:color w:val="374151"/>
          <w:sz w:val="22"/>
          <w:szCs w:val="22"/>
          <w:rFonts w:ascii="Calibri" w:cs="Calibri" w:eastAsia="Calibri" w:hAnsi="Calibri"/>
        </w:rPr>
        <w:t xml:space="preserve">Verificação: confirmação de que o patch foi corretamente instalado e a vulnerabilidade remediada</w:t>
      </w:r>
    </w:p>
    <w:p>
      <w:pPr>
        <w:pStyle w:val="ListParagraph"/>
        <w:numPr>
          <w:ilvl w:val="0"/>
          <w:numId w:val="1"/>
        </w:numPr>
        <w:spacing w:after="80"/>
      </w:pPr>
      <w:r>
        <w:rPr>
          <w:color w:val="374151"/>
          <w:sz w:val="22"/>
          <w:szCs w:val="22"/>
          <w:rFonts w:ascii="Calibri" w:cs="Calibri" w:eastAsia="Calibri" w:hAnsi="Calibri"/>
        </w:rPr>
        <w:t xml:space="preserve">Documentação: registo da aplicação do patch no sistema de gestão de ativos</w:t>
      </w:r>
    </w:p>
    <w:p>
      <w:pPr>
        <w:spacing w:after="160"/>
      </w:pPr>
      <w:r>
        <w:rPr>
          <w:color w:val="374151"/>
          <w:sz w:val="22"/>
          <w:szCs w:val="22"/>
          <w:rFonts w:ascii="Calibri" w:cs="Calibri" w:eastAsia="Calibri" w:hAnsi="Calibri"/>
        </w:rPr>
        <w:t xml:space="preserve">A organização utiliza uma solução de gestão de patches centralizada que automatiza a distribuição e instalação de patches em endpoints e servidores. Para sistemas que não suportam gestão automática de patches, o processo manual deve seguir o mesmo rigor e os mesmos SLAs.</w:t>
      </w:r>
    </w:p>
    <w:p>
      <w:r>
        <w:br w:type="page"/>
      </w:r>
    </w:p>
    <w:p>
      <w:pPr>
        <w:pStyle w:val="Heading1"/>
        <w:spacing w:before="400" w:after="200"/>
      </w:pPr>
      <w:r>
        <w:rPr>
          <w:b/>
          <w:bCs/>
          <w:color w:val="1e3a8a"/>
          <w:sz w:val="32"/>
          <w:szCs w:val="32"/>
          <w:rFonts w:ascii="Calibri" w:cs="Calibri" w:eastAsia="Calibri" w:hAnsi="Calibri"/>
        </w:rPr>
        <w:t xml:space="preserve">7. Scanning e avaliação contínua</w:t>
      </w:r>
    </w:p>
    <w:p>
      <w:pPr>
        <w:spacing w:after="160"/>
      </w:pPr>
      <w:r>
        <w:rPr>
          <w:color w:val="374151"/>
          <w:sz w:val="22"/>
          <w:szCs w:val="22"/>
          <w:rFonts w:ascii="Calibri" w:cs="Calibri" w:eastAsia="Calibri" w:hAnsi="Calibri"/>
        </w:rPr>
        <w:t xml:space="preserve">A gestão de vulnerabilidades eficaz exige avaliação contínua, não apenas snapshots periódicos. A organização implementa capacidades de monitorização contínua que permitem detetar novas vulnerabilidades à medida que surgem, novos ativos que entram no âmbito e alterações ao ambiente que criam novas exposições.</w:t>
      </w:r>
    </w:p>
    <w:p>
      <w:pPr>
        <w:spacing w:after="160"/>
      </w:pPr>
      <w:r>
        <w:rPr>
          <w:color w:val="374151"/>
          <w:sz w:val="22"/>
          <w:szCs w:val="22"/>
          <w:rFonts w:ascii="Calibri" w:cs="Calibri" w:eastAsia="Calibri" w:hAnsi="Calibri"/>
        </w:rPr>
        <w:t xml:space="preserve">Os componentes da avaliação contínua incluem:</w:t>
      </w:r>
    </w:p>
    <w:p>
      <w:pPr>
        <w:pStyle w:val="ListParagraph"/>
        <w:numPr>
          <w:ilvl w:val="0"/>
          <w:numId w:val="1"/>
        </w:numPr>
        <w:spacing w:after="80"/>
      </w:pPr>
      <w:r>
        <w:rPr>
          <w:color w:val="374151"/>
          <w:sz w:val="22"/>
          <w:szCs w:val="22"/>
          <w:rFonts w:ascii="Calibri" w:cs="Calibri" w:eastAsia="Calibri" w:hAnsi="Calibri"/>
        </w:rPr>
        <w:t xml:space="preserve">Scanning de vulnerabilidades automatizado e agendado para todos os sistemas em âmbito</w:t>
      </w:r>
    </w:p>
    <w:p>
      <w:pPr>
        <w:pStyle w:val="ListParagraph"/>
        <w:numPr>
          <w:ilvl w:val="0"/>
          <w:numId w:val="1"/>
        </w:numPr>
        <w:spacing w:after="80"/>
      </w:pPr>
      <w:r>
        <w:rPr>
          <w:color w:val="374151"/>
          <w:sz w:val="22"/>
          <w:szCs w:val="22"/>
          <w:rFonts w:ascii="Calibri" w:cs="Calibri" w:eastAsia="Calibri" w:hAnsi="Calibri"/>
        </w:rPr>
        <w:t xml:space="preserve">Gestão de inventário de ativos em tempo real para deteção de novos dispositivos não autorizados</w:t>
      </w:r>
    </w:p>
    <w:p>
      <w:pPr>
        <w:pStyle w:val="ListParagraph"/>
        <w:numPr>
          <w:ilvl w:val="0"/>
          <w:numId w:val="1"/>
        </w:numPr>
        <w:spacing w:after="80"/>
      </w:pPr>
      <w:r>
        <w:rPr>
          <w:color w:val="374151"/>
          <w:sz w:val="22"/>
          <w:szCs w:val="22"/>
          <w:rFonts w:ascii="Calibri" w:cs="Calibri" w:eastAsia="Calibri" w:hAnsi="Calibri"/>
        </w:rPr>
        <w:t xml:space="preserve">Monitorização de threat intelligence para deteção de exploração ativa de vulnerabilidades conhecidas</w:t>
      </w:r>
    </w:p>
    <w:p>
      <w:pPr>
        <w:pStyle w:val="ListParagraph"/>
        <w:numPr>
          <w:ilvl w:val="0"/>
          <w:numId w:val="1"/>
        </w:numPr>
        <w:spacing w:after="80"/>
      </w:pPr>
      <w:r>
        <w:rPr>
          <w:color w:val="374151"/>
          <w:sz w:val="22"/>
          <w:szCs w:val="22"/>
          <w:rFonts w:ascii="Calibri" w:cs="Calibri" w:eastAsia="Calibri" w:hAnsi="Calibri"/>
        </w:rPr>
        <w:t xml:space="preserve">Monitorização de configuração de segurança (CSPM) em ambientes de nuvem</w:t>
      </w:r>
    </w:p>
    <w:p>
      <w:pPr>
        <w:pStyle w:val="ListParagraph"/>
        <w:numPr>
          <w:ilvl w:val="0"/>
          <w:numId w:val="1"/>
        </w:numPr>
        <w:spacing w:after="80"/>
      </w:pPr>
      <w:r>
        <w:rPr>
          <w:color w:val="374151"/>
          <w:sz w:val="22"/>
          <w:szCs w:val="22"/>
          <w:rFonts w:ascii="Calibri" w:cs="Calibri" w:eastAsia="Calibri" w:hAnsi="Calibri"/>
        </w:rPr>
        <w:t xml:space="preserve">Análise de composição de software (SCA) para deteção de vulnerabilidades em dependências</w:t>
      </w:r>
    </w:p>
    <w:p>
      <w:pPr>
        <w:pStyle w:val="ListParagraph"/>
        <w:numPr>
          <w:ilvl w:val="0"/>
          <w:numId w:val="1"/>
        </w:numPr>
        <w:spacing w:after="80"/>
      </w:pPr>
      <w:r>
        <w:rPr>
          <w:color w:val="374151"/>
          <w:sz w:val="22"/>
          <w:szCs w:val="22"/>
          <w:rFonts w:ascii="Calibri" w:cs="Calibri" w:eastAsia="Calibri" w:hAnsi="Calibri"/>
        </w:rPr>
        <w:t xml:space="preserve">Integração com pipeline CI/CD para scanning automático de código e dependências</w:t>
      </w:r>
    </w:p>
    <w:p>
      <w:pPr>
        <w:pStyle w:val="Heading1"/>
        <w:spacing w:before="400" w:after="200"/>
      </w:pPr>
      <w:r>
        <w:rPr>
          <w:b/>
          <w:bCs/>
          <w:color w:val="1e3a8a"/>
          <w:sz w:val="32"/>
          <w:szCs w:val="32"/>
          <w:rFonts w:ascii="Calibri" w:cs="Calibri" w:eastAsia="Calibri" w:hAnsi="Calibri"/>
        </w:rPr>
        <w:t xml:space="preserve">8. Priorização de correção</w:t>
      </w:r>
    </w:p>
    <w:p>
      <w:pPr>
        <w:spacing w:after="160"/>
      </w:pPr>
      <w:r>
        <w:rPr>
          <w:color w:val="374151"/>
          <w:sz w:val="22"/>
          <w:szCs w:val="22"/>
          <w:rFonts w:ascii="Calibri" w:cs="Calibri" w:eastAsia="Calibri" w:hAnsi="Calibri"/>
        </w:rPr>
        <w:t xml:space="preserve">Com um número crescente de vulnerabilidades identificadas, a priorização eficaz é crítica para concentrar os recursos de remediação onde o risco real é maior. A organização vai além da pontuação CVSS base, considerando fatores contextuais para determinar a prioridade de remediação de cada vulnerabilidade.</w:t>
      </w:r>
    </w:p>
    <w:p>
      <w:pPr>
        <w:spacing w:after="160"/>
      </w:pPr>
      <w:r>
        <w:rPr>
          <w:color w:val="374151"/>
          <w:sz w:val="22"/>
          <w:szCs w:val="22"/>
          <w:rFonts w:ascii="Calibri" w:cs="Calibri" w:eastAsia="Calibri" w:hAnsi="Calibri"/>
        </w:rPr>
        <w:t xml:space="preserve">Os fatores de priorização utilizados são:</w:t>
      </w:r>
    </w:p>
    <w:p>
      <w:pPr>
        <w:pStyle w:val="ListParagraph"/>
        <w:numPr>
          <w:ilvl w:val="0"/>
          <w:numId w:val="1"/>
        </w:numPr>
        <w:spacing w:after="80"/>
      </w:pPr>
      <w:r>
        <w:rPr>
          <w:color w:val="374151"/>
          <w:sz w:val="22"/>
          <w:szCs w:val="22"/>
          <w:rFonts w:ascii="Calibri" w:cs="Calibri" w:eastAsia="Calibri" w:hAnsi="Calibri"/>
        </w:rPr>
        <w:t xml:space="preserve">Gravidade CVSS ajustada ao contexto ambiental (valor do ativo, exposição)</w:t>
      </w:r>
    </w:p>
    <w:p>
      <w:pPr>
        <w:pStyle w:val="ListParagraph"/>
        <w:numPr>
          <w:ilvl w:val="0"/>
          <w:numId w:val="1"/>
        </w:numPr>
        <w:spacing w:after="80"/>
      </w:pPr>
      <w:r>
        <w:rPr>
          <w:color w:val="374151"/>
          <w:sz w:val="22"/>
          <w:szCs w:val="22"/>
          <w:rFonts w:ascii="Calibri" w:cs="Calibri" w:eastAsia="Calibri" w:hAnsi="Calibri"/>
        </w:rPr>
        <w:t xml:space="preserve">Disponibilidade de exploit público e facilidade de exploração</w:t>
      </w:r>
    </w:p>
    <w:p>
      <w:pPr>
        <w:pStyle w:val="ListParagraph"/>
        <w:numPr>
          <w:ilvl w:val="0"/>
          <w:numId w:val="1"/>
        </w:numPr>
        <w:spacing w:after="80"/>
      </w:pPr>
      <w:r>
        <w:rPr>
          <w:color w:val="374151"/>
          <w:sz w:val="22"/>
          <w:szCs w:val="22"/>
          <w:rFonts w:ascii="Calibri" w:cs="Calibri" w:eastAsia="Calibri" w:hAnsi="Calibri"/>
        </w:rPr>
        <w:t xml:space="preserve">Exploração ativa confirmada em ataques reais (CISA KEV - Known Exploited Vulnerabilities)</w:t>
      </w:r>
    </w:p>
    <w:p>
      <w:pPr>
        <w:pStyle w:val="ListParagraph"/>
        <w:numPr>
          <w:ilvl w:val="0"/>
          <w:numId w:val="1"/>
        </w:numPr>
        <w:spacing w:after="80"/>
      </w:pPr>
      <w:r>
        <w:rPr>
          <w:color w:val="374151"/>
          <w:sz w:val="22"/>
          <w:szCs w:val="22"/>
          <w:rFonts w:ascii="Calibri" w:cs="Calibri" w:eastAsia="Calibri" w:hAnsi="Calibri"/>
        </w:rPr>
        <w:t xml:space="preserve">Valor do ativo afetado: sistemas críticos têm prioridade sobre sistemas de suporte</w:t>
      </w:r>
    </w:p>
    <w:p>
      <w:pPr>
        <w:pStyle w:val="ListParagraph"/>
        <w:numPr>
          <w:ilvl w:val="0"/>
          <w:numId w:val="1"/>
        </w:numPr>
        <w:spacing w:after="80"/>
      </w:pPr>
      <w:r>
        <w:rPr>
          <w:color w:val="374151"/>
          <w:sz w:val="22"/>
          <w:szCs w:val="22"/>
          <w:rFonts w:ascii="Calibri" w:cs="Calibri" w:eastAsia="Calibri" w:hAnsi="Calibri"/>
        </w:rPr>
        <w:t xml:space="preserve">Exposição do sistema: sistemas acessíveis da internet têm prioridade máxima</w:t>
      </w:r>
    </w:p>
    <w:p>
      <w:pPr>
        <w:pStyle w:val="ListParagraph"/>
        <w:numPr>
          <w:ilvl w:val="0"/>
          <w:numId w:val="1"/>
        </w:numPr>
        <w:spacing w:after="80"/>
      </w:pPr>
      <w:r>
        <w:rPr>
          <w:color w:val="374151"/>
          <w:sz w:val="22"/>
          <w:szCs w:val="22"/>
          <w:rFonts w:ascii="Calibri" w:cs="Calibri" w:eastAsia="Calibri" w:hAnsi="Calibri"/>
        </w:rPr>
        <w:t xml:space="preserve">Presença de controlos compensatórios que reduzam o risco efetivo</w:t>
      </w:r>
    </w:p>
    <w:p>
      <w:pPr>
        <w:pStyle w:val="ListParagraph"/>
        <w:numPr>
          <w:ilvl w:val="0"/>
          <w:numId w:val="1"/>
        </w:numPr>
        <w:spacing w:after="80"/>
      </w:pPr>
      <w:r>
        <w:rPr>
          <w:color w:val="374151"/>
          <w:sz w:val="22"/>
          <w:szCs w:val="22"/>
          <w:rFonts w:ascii="Calibri" w:cs="Calibri" w:eastAsia="Calibri" w:hAnsi="Calibri"/>
        </w:rPr>
        <w:t xml:space="preserve">Impacto da remediação na disponibilidade dos serviços</w:t>
      </w:r>
    </w:p>
    <w:p>
      <w:pPr>
        <w:spacing w:after="160"/>
      </w:pPr>
      <w:r>
        <w:rPr>
          <w:color w:val="374151"/>
          <w:sz w:val="22"/>
          <w:szCs w:val="22"/>
          <w:rFonts w:ascii="Calibri" w:cs="Calibri" w:eastAsia="Calibri" w:hAnsi="Calibri"/>
        </w:rPr>
        <w:t xml:space="preserve">A organização utiliza metodologias como o SSVC (Stakeholder-Specific Vulnerability Categorization) ou o EPSS (Exploit Prediction Scoring System) para complementar o CVSS e melhorar a priorização. O objetivo é garantir que as vulnerabilidades de maior risco real são remediadas primeiro, mesmo que a sua pontuação CVSS seja inferior a outras menos urgentes.</w:t>
      </w:r>
    </w:p>
    <w:p>
      <w:pPr>
        <w:pStyle w:val="Heading1"/>
        <w:spacing w:before="400" w:after="200"/>
      </w:pPr>
      <w:r>
        <w:rPr>
          <w:b/>
          <w:bCs/>
          <w:color w:val="1e3a8a"/>
          <w:sz w:val="32"/>
          <w:szCs w:val="32"/>
          <w:rFonts w:ascii="Calibri" w:cs="Calibri" w:eastAsia="Calibri" w:hAnsi="Calibri"/>
        </w:rPr>
        <w:t xml:space="preserve">9. Exceções e aceitação de risco</w:t>
      </w:r>
    </w:p>
    <w:p>
      <w:pPr>
        <w:spacing w:after="160"/>
      </w:pPr>
      <w:r>
        <w:rPr>
          <w:color w:val="374151"/>
          <w:sz w:val="22"/>
          <w:szCs w:val="22"/>
          <w:rFonts w:ascii="Calibri" w:cs="Calibri" w:eastAsia="Calibri" w:hAnsi="Calibri"/>
        </w:rPr>
        <w:t xml:space="preserve">Nem sempre é possível remediação todas as vulnerabilidades dentro dos SLAs definidos. As exceções podem ser justificadas por ausência de patch disponível, por incompatibilidade técnica com sistemas em produção, ou por impacto operacional desproporcional da remediação. Em todos os casos, a exceção deve ser formalmente documentada e aprovada.</w:t>
      </w:r>
    </w:p>
    <w:p>
      <w:pPr>
        <w:spacing w:after="160"/>
      </w:pPr>
      <w:r>
        <w:rPr>
          <w:color w:val="374151"/>
          <w:sz w:val="22"/>
          <w:szCs w:val="22"/>
          <w:rFonts w:ascii="Calibri" w:cs="Calibri" w:eastAsia="Calibri" w:hAnsi="Calibri"/>
        </w:rPr>
        <w:t xml:space="preserve">O processo de exceção inclui:</w:t>
      </w:r>
    </w:p>
    <w:p>
      <w:pPr>
        <w:pStyle w:val="ListParagraph"/>
        <w:numPr>
          <w:ilvl w:val="0"/>
          <w:numId w:val="1"/>
        </w:numPr>
        <w:spacing w:after="80"/>
      </w:pPr>
      <w:r>
        <w:rPr>
          <w:color w:val="374151"/>
          <w:sz w:val="22"/>
          <w:szCs w:val="22"/>
          <w:rFonts w:ascii="Calibri" w:cs="Calibri" w:eastAsia="Calibri" w:hAnsi="Calibri"/>
        </w:rPr>
        <w:t xml:space="preserve">Pedido formal de exceção com justificação técnica detalhada</w:t>
      </w:r>
    </w:p>
    <w:p>
      <w:pPr>
        <w:pStyle w:val="ListParagraph"/>
        <w:numPr>
          <w:ilvl w:val="0"/>
          <w:numId w:val="1"/>
        </w:numPr>
        <w:spacing w:after="80"/>
      </w:pPr>
      <w:r>
        <w:rPr>
          <w:color w:val="374151"/>
          <w:sz w:val="22"/>
          <w:szCs w:val="22"/>
          <w:rFonts w:ascii="Calibri" w:cs="Calibri" w:eastAsia="Calibri" w:hAnsi="Calibri"/>
        </w:rPr>
        <w:t xml:space="preserve">Identificação de controlos compensatórios implementados para reduzir o risco</w:t>
      </w:r>
    </w:p>
    <w:p>
      <w:pPr>
        <w:pStyle w:val="ListParagraph"/>
        <w:numPr>
          <w:ilvl w:val="0"/>
          <w:numId w:val="1"/>
        </w:numPr>
        <w:spacing w:after="80"/>
      </w:pPr>
      <w:r>
        <w:rPr>
          <w:color w:val="374151"/>
          <w:sz w:val="22"/>
          <w:szCs w:val="22"/>
          <w:rFonts w:ascii="Calibri" w:cs="Calibri" w:eastAsia="Calibri" w:hAnsi="Calibri"/>
        </w:rPr>
        <w:t xml:space="preserve">Avaliação do risco residual após implementação dos controlos compensatórios</w:t>
      </w:r>
    </w:p>
    <w:p>
      <w:pPr>
        <w:pStyle w:val="ListParagraph"/>
        <w:numPr>
          <w:ilvl w:val="0"/>
          <w:numId w:val="1"/>
        </w:numPr>
        <w:spacing w:after="80"/>
      </w:pPr>
      <w:r>
        <w:rPr>
          <w:color w:val="374151"/>
          <w:sz w:val="22"/>
          <w:szCs w:val="22"/>
          <w:rFonts w:ascii="Calibri" w:cs="Calibri" w:eastAsia="Calibri" w:hAnsi="Calibri"/>
        </w:rPr>
        <w:t xml:space="preserve">Aprovação do responsável de cibersegurança para exceções de vulnerabilidades média e baixa</w:t>
      </w:r>
    </w:p>
    <w:p>
      <w:pPr>
        <w:pStyle w:val="ListParagraph"/>
        <w:numPr>
          <w:ilvl w:val="0"/>
          <w:numId w:val="1"/>
        </w:numPr>
        <w:spacing w:after="80"/>
      </w:pPr>
      <w:r>
        <w:rPr>
          <w:color w:val="374151"/>
          <w:sz w:val="22"/>
          <w:szCs w:val="22"/>
          <w:rFonts w:ascii="Calibri" w:cs="Calibri" w:eastAsia="Calibri" w:hAnsi="Calibri"/>
        </w:rPr>
        <w:t xml:space="preserve">Aprovação do órgão de gestão para exceções de vulnerabilidades criticas e altas</w:t>
      </w:r>
    </w:p>
    <w:p>
      <w:pPr>
        <w:pStyle w:val="ListParagraph"/>
        <w:numPr>
          <w:ilvl w:val="0"/>
          <w:numId w:val="1"/>
        </w:numPr>
        <w:spacing w:after="80"/>
      </w:pPr>
      <w:r>
        <w:rPr>
          <w:color w:val="374151"/>
          <w:sz w:val="22"/>
          <w:szCs w:val="22"/>
          <w:rFonts w:ascii="Calibri" w:cs="Calibri" w:eastAsia="Calibri" w:hAnsi="Calibri"/>
        </w:rPr>
        <w:t xml:space="preserve">Prazo máximo de validade da exceção: 3 meses (renováveis com nova aprovação)</w:t>
      </w:r>
    </w:p>
    <w:p>
      <w:pPr>
        <w:pStyle w:val="ListParagraph"/>
        <w:numPr>
          <w:ilvl w:val="0"/>
          <w:numId w:val="1"/>
        </w:numPr>
        <w:spacing w:after="80"/>
      </w:pPr>
      <w:r>
        <w:rPr>
          <w:color w:val="374151"/>
          <w:sz w:val="22"/>
          <w:szCs w:val="22"/>
          <w:rFonts w:ascii="Calibri" w:cs="Calibri" w:eastAsia="Calibri" w:hAnsi="Calibri"/>
        </w:rPr>
        <w:t xml:space="preserve">Revisão mensal do estado das exceções ativas</w:t>
      </w:r>
    </w:p>
    <w:p>
      <w:pPr>
        <w:shd w:color="dbeafe" w:val="solid"/>
        <w:spacing w:before="160" w:after="160"/>
        <w:ind w:left="360" w:right="360"/>
      </w:pPr>
      <w:r>
        <w:rPr>
          <w:i/>
          <w:iCs/>
          <w:color w:val="1e3a8a"/>
          <w:sz w:val="22"/>
          <w:szCs w:val="22"/>
          <w:rFonts w:ascii="Calibri" w:cs="Calibri" w:eastAsia="Calibri" w:hAnsi="Calibri"/>
        </w:rPr>
        <w:t xml:space="preserve">Art. 27.º alínea d) do DL 125/2025 - gestão de vulnerabilidades como componente da segurança no desenvolvimento e manutenção de sistemas, com abordagem baseada em risco.</w:t>
      </w:r>
    </w:p>
    <w:p>
      <w:r>
        <w:br w:type="page"/>
      </w:r>
    </w:p>
    <w:p>
      <w:pPr>
        <w:pStyle w:val="Heading1"/>
        <w:spacing w:before="400" w:after="200"/>
      </w:pPr>
      <w:r>
        <w:rPr>
          <w:b/>
          <w:bCs/>
          <w:color w:val="1e3a8a"/>
          <w:sz w:val="32"/>
          <w:szCs w:val="32"/>
          <w:rFonts w:ascii="Calibri" w:cs="Calibri" w:eastAsia="Calibri" w:hAnsi="Calibri"/>
        </w:rPr>
        <w:t xml:space="preserve">10. Divulgação coordenada de vulnerabilidades (Art. 38.º e 39.º)</w:t>
      </w:r>
    </w:p>
    <w:p>
      <w:pPr>
        <w:spacing w:after="160"/>
      </w:pPr>
      <w:r>
        <w:rPr>
          <w:color w:val="374151"/>
          <w:sz w:val="22"/>
          <w:szCs w:val="22"/>
          <w:rFonts w:ascii="Calibri" w:cs="Calibri" w:eastAsia="Calibri" w:hAnsi="Calibri"/>
        </w:rPr>
        <w:t xml:space="preserve">O DL 125/2025 estabelece, nos Art. 38.º e 39.º, um enquadramento legal para a divulgação coordenada de vulnerabilidades (Coordinated Vulnerability Disclosure - CVD). Este enquadramento incentiva investigadores de segurança a reportar vulnerabilidades de forma responsável, em vez de as explorar ou divulgar publicamente sem aviso prévio.</w:t>
      </w:r>
    </w:p>
    <w:p>
      <w:pPr>
        <w:spacing w:after="160"/>
      </w:pPr>
      <w:r>
        <w:rPr>
          <w:color w:val="374151"/>
          <w:sz w:val="22"/>
          <w:szCs w:val="22"/>
          <w:rFonts w:ascii="Calibri" w:cs="Calibri" w:eastAsia="Calibri" w:hAnsi="Calibri"/>
        </w:rPr>
        <w:t xml:space="preserve">A organização publica uma política de divulgação de vulnerabilidades (vulnerability disclosure policy - VDP) que define como investigadores externos podem reportar vulnerabilidades descobertas nos sistemas da organização. A política VDP é publicada no website público e registada na plataforma nacional do CNCS.</w:t>
      </w:r>
    </w:p>
    <w:p>
      <w:pPr>
        <w:spacing w:after="160"/>
      </w:pPr>
      <w:r>
        <w:rPr>
          <w:color w:val="374151"/>
          <w:sz w:val="22"/>
          <w:szCs w:val="22"/>
          <w:rFonts w:ascii="Calibri" w:cs="Calibri" w:eastAsia="Calibri" w:hAnsi="Calibri"/>
        </w:rPr>
        <w:t xml:space="preserve">A política de divulgação de vulnerabilidades da organização define:</w:t>
      </w:r>
    </w:p>
    <w:p>
      <w:pPr>
        <w:pStyle w:val="ListParagraph"/>
        <w:numPr>
          <w:ilvl w:val="0"/>
          <w:numId w:val="1"/>
        </w:numPr>
        <w:spacing w:after="80"/>
      </w:pPr>
      <w:r>
        <w:rPr>
          <w:color w:val="374151"/>
          <w:sz w:val="22"/>
          <w:szCs w:val="22"/>
          <w:rFonts w:ascii="Calibri" w:cs="Calibri" w:eastAsia="Calibri" w:hAnsi="Calibri"/>
        </w:rPr>
        <w:t xml:space="preserve">Canal de reporte: endereço de email dedicado (security@[organizacao].pt) e formulário web seguro</w:t>
      </w:r>
    </w:p>
    <w:p>
      <w:pPr>
        <w:pStyle w:val="ListParagraph"/>
        <w:numPr>
          <w:ilvl w:val="0"/>
          <w:numId w:val="1"/>
        </w:numPr>
        <w:spacing w:after="80"/>
      </w:pPr>
      <w:r>
        <w:rPr>
          <w:color w:val="374151"/>
          <w:sz w:val="22"/>
          <w:szCs w:val="22"/>
          <w:rFonts w:ascii="Calibri" w:cs="Calibri" w:eastAsia="Calibri" w:hAnsi="Calibri"/>
        </w:rPr>
        <w:t xml:space="preserve">Âmbito: sistemas e aplicações em âmbito para reporte de vulnerabilidades</w:t>
      </w:r>
    </w:p>
    <w:p>
      <w:pPr>
        <w:pStyle w:val="ListParagraph"/>
        <w:numPr>
          <w:ilvl w:val="0"/>
          <w:numId w:val="1"/>
        </w:numPr>
        <w:spacing w:after="80"/>
      </w:pPr>
      <w:r>
        <w:rPr>
          <w:color w:val="374151"/>
          <w:sz w:val="22"/>
          <w:szCs w:val="22"/>
          <w:rFonts w:ascii="Calibri" w:cs="Calibri" w:eastAsia="Calibri" w:hAnsi="Calibri"/>
        </w:rPr>
        <w:t xml:space="preserve">Exclusões: sistemas fora de âmbito onde o reporte não é encorajado</w:t>
      </w:r>
    </w:p>
    <w:p>
      <w:pPr>
        <w:pStyle w:val="ListParagraph"/>
        <w:numPr>
          <w:ilvl w:val="0"/>
          <w:numId w:val="1"/>
        </w:numPr>
        <w:spacing w:after="80"/>
      </w:pPr>
      <w:r>
        <w:rPr>
          <w:color w:val="374151"/>
          <w:sz w:val="22"/>
          <w:szCs w:val="22"/>
          <w:rFonts w:ascii="Calibri" w:cs="Calibri" w:eastAsia="Calibri" w:hAnsi="Calibri"/>
        </w:rPr>
        <w:t xml:space="preserve">Comprometimento da organização: prazo de resposta ao investigador (máximo 5 dias úteis)</w:t>
      </w:r>
    </w:p>
    <w:p>
      <w:pPr>
        <w:pStyle w:val="ListParagraph"/>
        <w:numPr>
          <w:ilvl w:val="0"/>
          <w:numId w:val="1"/>
        </w:numPr>
        <w:spacing w:after="80"/>
      </w:pPr>
      <w:r>
        <w:rPr>
          <w:color w:val="374151"/>
          <w:sz w:val="22"/>
          <w:szCs w:val="22"/>
          <w:rFonts w:ascii="Calibri" w:cs="Calibri" w:eastAsia="Calibri" w:hAnsi="Calibri"/>
        </w:rPr>
        <w:t xml:space="preserve">Prazo de remediação: a organização compromete-se a corrigir vulnerabilidades válidas em prazo adequado à sua gravidade</w:t>
      </w:r>
    </w:p>
    <w:p>
      <w:pPr>
        <w:pStyle w:val="ListParagraph"/>
        <w:numPr>
          <w:ilvl w:val="0"/>
          <w:numId w:val="1"/>
        </w:numPr>
        <w:spacing w:after="80"/>
      </w:pPr>
      <w:r>
        <w:rPr>
          <w:color w:val="374151"/>
          <w:sz w:val="22"/>
          <w:szCs w:val="22"/>
          <w:rFonts w:ascii="Calibri" w:cs="Calibri" w:eastAsia="Calibri" w:hAnsi="Calibri"/>
        </w:rPr>
        <w:t xml:space="preserve">Proteção ao investigador: a organização não intenta ações legais contra investigadores que atuem de boa fé</w:t>
      </w:r>
    </w:p>
    <w:p>
      <w:pPr>
        <w:pStyle w:val="ListParagraph"/>
        <w:numPr>
          <w:ilvl w:val="0"/>
          <w:numId w:val="1"/>
        </w:numPr>
        <w:spacing w:after="80"/>
      </w:pPr>
      <w:r>
        <w:rPr>
          <w:color w:val="374151"/>
          <w:sz w:val="22"/>
          <w:szCs w:val="22"/>
          <w:rFonts w:ascii="Calibri" w:cs="Calibri" w:eastAsia="Calibri" w:hAnsi="Calibri"/>
        </w:rPr>
        <w:t xml:space="preserve">Reconhecimento: opção de reconhecimento público do investigador após remediação, se desejado</w:t>
      </w:r>
    </w:p>
    <w:p>
      <w:pPr>
        <w:spacing w:after="160"/>
      </w:pPr>
      <w:r>
        <w:rPr>
          <w:color w:val="374151"/>
          <w:sz w:val="22"/>
          <w:szCs w:val="22"/>
          <w:rFonts w:ascii="Calibri" w:cs="Calibri" w:eastAsia="Calibri" w:hAnsi="Calibri"/>
        </w:rPr>
        <w:t xml:space="preserve">A organização designa um ponto de contacto responsável pela receção e gestão de relatórios de vulnerabilidades externos. Os relatórios recebidos são avaliados, triados e processados de acordo com o mesmo processo de gestão de vulnerabilidades interno, com prioridade adicional devido à potencial divulgação pública.</w:t>
      </w:r>
    </w:p>
    <w:p>
      <w:pPr>
        <w:shd w:color="dbeafe" w:val="solid"/>
        <w:spacing w:before="160" w:after="160"/>
        <w:ind w:left="360" w:right="360"/>
      </w:pPr>
      <w:r>
        <w:rPr>
          <w:i/>
          <w:iCs/>
          <w:color w:val="1e3a8a"/>
          <w:sz w:val="22"/>
          <w:szCs w:val="22"/>
          <w:rFonts w:ascii="Calibri" w:cs="Calibri" w:eastAsia="Calibri" w:hAnsi="Calibri"/>
        </w:rPr>
        <w:t xml:space="preserve">Art. 38.º e 39.º do DL 125/2025 - enquadramento legal para divulgação coordenada de vulnerabilidades, incluindo a obrigação de notificação ao CNCS de vulnerabilidades que possam ter impacto significativo.</w:t>
      </w:r>
    </w:p>
    <w:p>
      <w:pPr>
        <w:pStyle w:val="Heading1"/>
        <w:spacing w:before="400" w:after="200"/>
      </w:pPr>
      <w:r>
        <w:rPr>
          <w:b/>
          <w:bCs/>
          <w:color w:val="1e3a8a"/>
          <w:sz w:val="32"/>
          <w:szCs w:val="32"/>
          <w:rFonts w:ascii="Calibri" w:cs="Calibri" w:eastAsia="Calibri" w:hAnsi="Calibri"/>
        </w:rPr>
        <w:t xml:space="preserve">11. Ferramentas e automação</w:t>
      </w:r>
    </w:p>
    <w:p>
      <w:pPr>
        <w:spacing w:after="160"/>
      </w:pPr>
      <w:r>
        <w:rPr>
          <w:color w:val="374151"/>
          <w:sz w:val="22"/>
          <w:szCs w:val="22"/>
          <w:rFonts w:ascii="Calibri" w:cs="Calibri" w:eastAsia="Calibri" w:hAnsi="Calibri"/>
        </w:rPr>
        <w:t xml:space="preserve">A organização utiliza um conjunto de ferramentas aprovadas para automatizar os diferentes componentes do processo de gestão de vulnerabilidades. A automação permite escalar o programa de gestão de vulnerabilidades e reduzir o tempo de resposta, garantindo cobertura abrangente e consistente.</w:t>
      </w:r>
    </w:p>
    <w:p>
      <w:pPr>
        <w:spacing w:after="160"/>
      </w:pPr>
      <w:r>
        <w:rPr>
          <w:color w:val="374151"/>
          <w:sz w:val="22"/>
          <w:szCs w:val="22"/>
          <w:rFonts w:ascii="Calibri" w:cs="Calibri" w:eastAsia="Calibri" w:hAnsi="Calibri"/>
        </w:rPr>
        <w:t xml:space="preserve">As categorias de ferramentas aprovadas incluem:</w:t>
      </w:r>
    </w:p>
    <w:p>
      <w:pPr>
        <w:pStyle w:val="ListParagraph"/>
        <w:numPr>
          <w:ilvl w:val="0"/>
          <w:numId w:val="1"/>
        </w:numPr>
        <w:spacing w:after="80"/>
      </w:pPr>
      <w:r>
        <w:rPr>
          <w:color w:val="374151"/>
          <w:sz w:val="22"/>
          <w:szCs w:val="22"/>
          <w:rFonts w:ascii="Calibri" w:cs="Calibri" w:eastAsia="Calibri" w:hAnsi="Calibri"/>
        </w:rPr>
        <w:t xml:space="preserve">Scanners de vulnerabilidades de infraestrutura: para servidores, endpoints e dispositivos de rede</w:t>
      </w:r>
    </w:p>
    <w:p>
      <w:pPr>
        <w:pStyle w:val="ListParagraph"/>
        <w:numPr>
          <w:ilvl w:val="0"/>
          <w:numId w:val="1"/>
        </w:numPr>
        <w:spacing w:after="80"/>
      </w:pPr>
      <w:r>
        <w:rPr>
          <w:color w:val="374151"/>
          <w:sz w:val="22"/>
          <w:szCs w:val="22"/>
          <w:rFonts w:ascii="Calibri" w:cs="Calibri" w:eastAsia="Calibri" w:hAnsi="Calibri"/>
        </w:rPr>
        <w:t xml:space="preserve">Scanners de aplicações web (DAST): para análise de aplicações em execução</w:t>
      </w:r>
    </w:p>
    <w:p>
      <w:pPr>
        <w:pStyle w:val="ListParagraph"/>
        <w:numPr>
          <w:ilvl w:val="0"/>
          <w:numId w:val="1"/>
        </w:numPr>
        <w:spacing w:after="80"/>
      </w:pPr>
      <w:r>
        <w:rPr>
          <w:color w:val="374151"/>
          <w:sz w:val="22"/>
          <w:szCs w:val="22"/>
          <w:rFonts w:ascii="Calibri" w:cs="Calibri" w:eastAsia="Calibri" w:hAnsi="Calibri"/>
        </w:rPr>
        <w:t xml:space="preserve">Ferramentas de análise estática de código (SAST): integradas no pipeline de desenvolvimento</w:t>
      </w:r>
    </w:p>
    <w:p>
      <w:pPr>
        <w:pStyle w:val="ListParagraph"/>
        <w:numPr>
          <w:ilvl w:val="0"/>
          <w:numId w:val="1"/>
        </w:numPr>
        <w:spacing w:after="80"/>
      </w:pPr>
      <w:r>
        <w:rPr>
          <w:color w:val="374151"/>
          <w:sz w:val="22"/>
          <w:szCs w:val="22"/>
          <w:rFonts w:ascii="Calibri" w:cs="Calibri" w:eastAsia="Calibri" w:hAnsi="Calibri"/>
        </w:rPr>
        <w:t xml:space="preserve">Análise de composição de software (SCA): para deteção de vulnerabilidades em bibliotecas de terceiros</w:t>
      </w:r>
    </w:p>
    <w:p>
      <w:pPr>
        <w:pStyle w:val="ListParagraph"/>
        <w:numPr>
          <w:ilvl w:val="0"/>
          <w:numId w:val="1"/>
        </w:numPr>
        <w:spacing w:after="80"/>
      </w:pPr>
      <w:r>
        <w:rPr>
          <w:color w:val="374151"/>
          <w:sz w:val="22"/>
          <w:szCs w:val="22"/>
          <w:rFonts w:ascii="Calibri" w:cs="Calibri" w:eastAsia="Calibri" w:hAnsi="Calibri"/>
        </w:rPr>
        <w:t xml:space="preserve">Gestão centralizada de patches: para distribuição e instalação automatizada de atualizações</w:t>
      </w:r>
    </w:p>
    <w:p>
      <w:pPr>
        <w:pStyle w:val="ListParagraph"/>
        <w:numPr>
          <w:ilvl w:val="0"/>
          <w:numId w:val="1"/>
        </w:numPr>
        <w:spacing w:after="80"/>
      </w:pPr>
      <w:r>
        <w:rPr>
          <w:color w:val="374151"/>
          <w:sz w:val="22"/>
          <w:szCs w:val="22"/>
          <w:rFonts w:ascii="Calibri" w:cs="Calibri" w:eastAsia="Calibri" w:hAnsi="Calibri"/>
        </w:rPr>
        <w:t xml:space="preserve">Plataforma de gestão de vulnerabilidades: para registo, priorização e acompanhamento</w:t>
      </w:r>
    </w:p>
    <w:p>
      <w:pPr>
        <w:pStyle w:val="ListParagraph"/>
        <w:numPr>
          <w:ilvl w:val="0"/>
          <w:numId w:val="1"/>
        </w:numPr>
        <w:spacing w:after="80"/>
      </w:pPr>
      <w:r>
        <w:rPr>
          <w:color w:val="374151"/>
          <w:sz w:val="22"/>
          <w:szCs w:val="22"/>
          <w:rFonts w:ascii="Calibri" w:cs="Calibri" w:eastAsia="Calibri" w:hAnsi="Calibri"/>
        </w:rPr>
        <w:t xml:space="preserve">Integração com SIEM/SOAR: para correlação de eventos e automatização de resposta</w:t>
      </w:r>
    </w:p>
    <w:p>
      <w:pPr>
        <w:spacing w:after="160"/>
      </w:pPr>
      <w:r>
        <w:rPr>
          <w:color w:val="374151"/>
          <w:sz w:val="22"/>
          <w:szCs w:val="22"/>
          <w:rFonts w:ascii="Calibri" w:cs="Calibri" w:eastAsia="Calibri" w:hAnsi="Calibri"/>
        </w:rPr>
        <w:t xml:space="preserve">A seleção e aprovação de novas ferramentas de segurança requer avaliação pelo responsável de cibersegurança, incluindo verificação das permissões necessárias, impacto nos sistemas e conformidade com a política de aquisição de software da organização.</w:t>
      </w:r>
    </w:p>
    <w:p>
      <w:r>
        <w:br w:type="page"/>
      </w:r>
    </w:p>
    <w:p>
      <w:pPr>
        <w:pStyle w:val="Heading1"/>
        <w:spacing w:before="400" w:after="200"/>
      </w:pPr>
      <w:r>
        <w:rPr>
          <w:b/>
          <w:bCs/>
          <w:color w:val="1e3a8a"/>
          <w:sz w:val="32"/>
          <w:szCs w:val="32"/>
          <w:rFonts w:ascii="Calibri" w:cs="Calibri" w:eastAsia="Calibri" w:hAnsi="Calibri"/>
        </w:rPr>
        <w:t xml:space="preserve">12. Métricas e indicadores de desempenho</w:t>
      </w:r>
    </w:p>
    <w:p>
      <w:pPr>
        <w:spacing w:after="160"/>
      </w:pPr>
      <w:r>
        <w:rPr>
          <w:color w:val="374151"/>
          <w:sz w:val="22"/>
          <w:szCs w:val="22"/>
          <w:rFonts w:ascii="Calibri" w:cs="Calibri" w:eastAsia="Calibri" w:hAnsi="Calibri"/>
        </w:rPr>
        <w:t xml:space="preserve">A eficácia do programa de gestão de vulnerabilidades é medida através de indicadores-chave de desempenho (KPIs) que são monitorizados e reportados regularmente ao responsável de cibersegurança e, trimestralmente, ao órgão de gestão.</w:t>
      </w:r>
    </w:p>
    <w:p>
      <w:pPr>
        <w:spacing w:after="160"/>
      </w:pPr>
      <w:r>
        <w:rPr>
          <w:color w:val="374151"/>
          <w:sz w:val="22"/>
          <w:szCs w:val="22"/>
          <w:rFonts w:ascii="Calibri" w:cs="Calibri" w:eastAsia="Calibri" w:hAnsi="Calibri"/>
        </w:rPr>
        <w:t xml:space="preserve">Os KPIs do programa de gestão de vulnerabilidades incluem:</w:t>
      </w:r>
    </w:p>
    <w:p>
      <w:pPr>
        <w:pStyle w:val="ListParagraph"/>
        <w:numPr>
          <w:ilvl w:val="0"/>
          <w:numId w:val="1"/>
        </w:numPr>
        <w:spacing w:after="80"/>
      </w:pPr>
      <w:r>
        <w:rPr>
          <w:color w:val="374151"/>
          <w:sz w:val="22"/>
          <w:szCs w:val="22"/>
          <w:rFonts w:ascii="Calibri" w:cs="Calibri" w:eastAsia="Calibri" w:hAnsi="Calibri"/>
        </w:rPr>
        <w:t xml:space="preserve">Tempo médio de remediação por nível de gravidade (MTTR)</w:t>
      </w:r>
    </w:p>
    <w:p>
      <w:pPr>
        <w:pStyle w:val="ListParagraph"/>
        <w:numPr>
          <w:ilvl w:val="0"/>
          <w:numId w:val="1"/>
        </w:numPr>
        <w:spacing w:after="80"/>
      </w:pPr>
      <w:r>
        <w:rPr>
          <w:color w:val="374151"/>
          <w:sz w:val="22"/>
          <w:szCs w:val="22"/>
          <w:rFonts w:ascii="Calibri" w:cs="Calibri" w:eastAsia="Calibri" w:hAnsi="Calibri"/>
        </w:rPr>
        <w:t xml:space="preserve">Percentagem de vulnerabilidades remediadas dentro do SLA definido</w:t>
      </w:r>
    </w:p>
    <w:p>
      <w:pPr>
        <w:pStyle w:val="ListParagraph"/>
        <w:numPr>
          <w:ilvl w:val="0"/>
          <w:numId w:val="1"/>
        </w:numPr>
        <w:spacing w:after="80"/>
      </w:pPr>
      <w:r>
        <w:rPr>
          <w:color w:val="374151"/>
          <w:sz w:val="22"/>
          <w:szCs w:val="22"/>
          <w:rFonts w:ascii="Calibri" w:cs="Calibri" w:eastAsia="Calibri" w:hAnsi="Calibri"/>
        </w:rPr>
        <w:t xml:space="preserve">Numero de vulnerabilidades abertas por nível de gravidade e antiguidade</w:t>
      </w:r>
    </w:p>
    <w:p>
      <w:pPr>
        <w:pStyle w:val="ListParagraph"/>
        <w:numPr>
          <w:ilvl w:val="0"/>
          <w:numId w:val="1"/>
        </w:numPr>
        <w:spacing w:after="80"/>
      </w:pPr>
      <w:r>
        <w:rPr>
          <w:color w:val="374151"/>
          <w:sz w:val="22"/>
          <w:szCs w:val="22"/>
          <w:rFonts w:ascii="Calibri" w:cs="Calibri" w:eastAsia="Calibri" w:hAnsi="Calibri"/>
        </w:rPr>
        <w:t xml:space="preserve">Cobertura de scanning: percentagem de sistemas em âmbito cobertos</w:t>
      </w:r>
    </w:p>
    <w:p>
      <w:pPr>
        <w:pStyle w:val="ListParagraph"/>
        <w:numPr>
          <w:ilvl w:val="0"/>
          <w:numId w:val="1"/>
        </w:numPr>
        <w:spacing w:after="80"/>
      </w:pPr>
      <w:r>
        <w:rPr>
          <w:color w:val="374151"/>
          <w:sz w:val="22"/>
          <w:szCs w:val="22"/>
          <w:rFonts w:ascii="Calibri" w:cs="Calibri" w:eastAsia="Calibri" w:hAnsi="Calibri"/>
        </w:rPr>
        <w:t xml:space="preserve">Numero de exceções ativas e respetiva antiguidade</w:t>
      </w:r>
    </w:p>
    <w:p>
      <w:pPr>
        <w:pStyle w:val="ListParagraph"/>
        <w:numPr>
          <w:ilvl w:val="0"/>
          <w:numId w:val="1"/>
        </w:numPr>
        <w:spacing w:after="80"/>
      </w:pPr>
      <w:r>
        <w:rPr>
          <w:color w:val="374151"/>
          <w:sz w:val="22"/>
          <w:szCs w:val="22"/>
          <w:rFonts w:ascii="Calibri" w:cs="Calibri" w:eastAsia="Calibri" w:hAnsi="Calibri"/>
        </w:rPr>
        <w:t xml:space="preserve">Numero de vulnerabilidades críticas em sistemas expostos à internet</w:t>
      </w:r>
    </w:p>
    <w:p>
      <w:pPr>
        <w:pStyle w:val="ListParagraph"/>
        <w:numPr>
          <w:ilvl w:val="0"/>
          <w:numId w:val="1"/>
        </w:numPr>
        <w:spacing w:after="80"/>
      </w:pPr>
      <w:r>
        <w:rPr>
          <w:color w:val="374151"/>
          <w:sz w:val="22"/>
          <w:szCs w:val="22"/>
          <w:rFonts w:ascii="Calibri" w:cs="Calibri" w:eastAsia="Calibri" w:hAnsi="Calibri"/>
        </w:rPr>
        <w:t xml:space="preserve">Tendência do numero total de vulnerabilidades abertas (redução versus aumento)</w:t>
      </w:r>
    </w:p>
    <w:p>
      <w:pPr>
        <w:pStyle w:val="ListParagraph"/>
        <w:numPr>
          <w:ilvl w:val="0"/>
          <w:numId w:val="1"/>
        </w:numPr>
        <w:spacing w:after="80"/>
      </w:pPr>
      <w:r>
        <w:rPr>
          <w:color w:val="374151"/>
          <w:sz w:val="22"/>
          <w:szCs w:val="22"/>
          <w:rFonts w:ascii="Calibri" w:cs="Calibri" w:eastAsia="Calibri" w:hAnsi="Calibri"/>
        </w:rPr>
        <w:t xml:space="preserve">Tempo médio de publicação de patch pelo fabricante até instalação (patch lag)</w:t>
      </w:r>
    </w:p>
    <w:p>
      <w:pPr>
        <w:spacing w:after="160"/>
      </w:pPr>
      <w:r>
        <w:rPr>
          <w:color w:val="374151"/>
          <w:sz w:val="22"/>
          <w:szCs w:val="22"/>
          <w:rFonts w:ascii="Calibri" w:cs="Calibri" w:eastAsia="Calibri" w:hAnsi="Calibri"/>
        </w:rPr>
        <w:t xml:space="preserve">O dashboard de gestão de vulnerabilidades é atualizado em tempo real e acessível ao responsável de cibersegurança e ao departamento de TI. O relatório executivo mensal sintetiza o estado do programa e destaca as áreas de maior risco. O órgão de gestão recebe um briefing trimestral sobre o estado da gestão de vulnerabilidades.</w:t>
      </w:r>
    </w:p>
    <w:p>
      <w:pPr>
        <w:pStyle w:val="Heading1"/>
        <w:spacing w:before="400" w:after="200"/>
      </w:pPr>
      <w:r>
        <w:rPr>
          <w:b/>
          <w:bCs/>
          <w:color w:val="1e3a8a"/>
          <w:sz w:val="32"/>
          <w:szCs w:val="32"/>
          <w:rFonts w:ascii="Calibri" w:cs="Calibri" w:eastAsia="Calibri" w:hAnsi="Calibri"/>
        </w:rPr>
        <w:t xml:space="preserve">13. Responsabilidades</w:t>
      </w:r>
    </w:p>
    <w:p>
      <w:pPr>
        <w:pStyle w:val="Heading2"/>
        <w:spacing w:before="320" w:after="160"/>
      </w:pPr>
      <w:r>
        <w:rPr>
          <w:b/>
          <w:bCs/>
          <w:color w:val="1e3a8a"/>
          <w:sz w:val="28"/>
          <w:szCs w:val="28"/>
          <w:rFonts w:ascii="Calibri" w:cs="Calibri" w:eastAsia="Calibri" w:hAnsi="Calibri"/>
        </w:rPr>
        <w:t xml:space="preserve">13.1. Responsável de cibersegurança</w:t>
      </w:r>
    </w:p>
    <w:p>
      <w:pPr>
        <w:pStyle w:val="ListParagraph"/>
        <w:numPr>
          <w:ilvl w:val="0"/>
          <w:numId w:val="1"/>
        </w:numPr>
        <w:spacing w:after="80"/>
      </w:pPr>
      <w:r>
        <w:rPr>
          <w:color w:val="374151"/>
          <w:sz w:val="22"/>
          <w:szCs w:val="22"/>
          <w:rFonts w:ascii="Calibri" w:cs="Calibri" w:eastAsia="Calibri" w:hAnsi="Calibri"/>
        </w:rPr>
        <w:t xml:space="preserve">Definir e manter a política e o programa de gestão de vulnerabilidades</w:t>
      </w:r>
    </w:p>
    <w:p>
      <w:pPr>
        <w:pStyle w:val="ListParagraph"/>
        <w:numPr>
          <w:ilvl w:val="0"/>
          <w:numId w:val="1"/>
        </w:numPr>
        <w:spacing w:after="80"/>
      </w:pPr>
      <w:r>
        <w:rPr>
          <w:color w:val="374151"/>
          <w:sz w:val="22"/>
          <w:szCs w:val="22"/>
          <w:rFonts w:ascii="Calibri" w:cs="Calibri" w:eastAsia="Calibri" w:hAnsi="Calibri"/>
        </w:rPr>
        <w:t xml:space="preserve">Supervisionar o cumprimento dos SLAs e escalar ao órgão de gestão quando necessário</w:t>
      </w:r>
    </w:p>
    <w:p>
      <w:pPr>
        <w:pStyle w:val="ListParagraph"/>
        <w:numPr>
          <w:ilvl w:val="0"/>
          <w:numId w:val="1"/>
        </w:numPr>
        <w:spacing w:after="80"/>
      </w:pPr>
      <w:r>
        <w:rPr>
          <w:color w:val="374151"/>
          <w:sz w:val="22"/>
          <w:szCs w:val="22"/>
          <w:rFonts w:ascii="Calibri" w:cs="Calibri" w:eastAsia="Calibri" w:hAnsi="Calibri"/>
        </w:rPr>
        <w:t xml:space="preserve">Gerir a política de divulgação de vulnerabilidades e o processo CVD</w:t>
      </w:r>
    </w:p>
    <w:p>
      <w:pPr>
        <w:pStyle w:val="ListParagraph"/>
        <w:numPr>
          <w:ilvl w:val="0"/>
          <w:numId w:val="1"/>
        </w:numPr>
        <w:spacing w:after="80"/>
      </w:pPr>
      <w:r>
        <w:rPr>
          <w:color w:val="374151"/>
          <w:sz w:val="22"/>
          <w:szCs w:val="22"/>
          <w:rFonts w:ascii="Calibri" w:cs="Calibri" w:eastAsia="Calibri" w:hAnsi="Calibri"/>
        </w:rPr>
        <w:t xml:space="preserve">Reportar o estado do programa de gestão de vulnerabilidades</w:t>
      </w:r>
    </w:p>
    <w:p>
      <w:pPr>
        <w:pStyle w:val="Heading2"/>
        <w:spacing w:before="320" w:after="160"/>
      </w:pPr>
      <w:r>
        <w:rPr>
          <w:b/>
          <w:bCs/>
          <w:color w:val="1e3a8a"/>
          <w:sz w:val="28"/>
          <w:szCs w:val="28"/>
          <w:rFonts w:ascii="Calibri" w:cs="Calibri" w:eastAsia="Calibri" w:hAnsi="Calibri"/>
        </w:rPr>
        <w:t xml:space="preserve">13.2. Departamento de tecnologias de informação</w:t>
      </w:r>
    </w:p>
    <w:p>
      <w:pPr>
        <w:pStyle w:val="ListParagraph"/>
        <w:numPr>
          <w:ilvl w:val="0"/>
          <w:numId w:val="1"/>
        </w:numPr>
        <w:spacing w:after="80"/>
      </w:pPr>
      <w:r>
        <w:rPr>
          <w:color w:val="374151"/>
          <w:sz w:val="22"/>
          <w:szCs w:val="22"/>
          <w:rFonts w:ascii="Calibri" w:cs="Calibri" w:eastAsia="Calibri" w:hAnsi="Calibri"/>
        </w:rPr>
        <w:t xml:space="preserve">Executar o scanning de vulnerabilidades nos sistemas em âmbito</w:t>
      </w:r>
    </w:p>
    <w:p>
      <w:pPr>
        <w:pStyle w:val="ListParagraph"/>
        <w:numPr>
          <w:ilvl w:val="0"/>
          <w:numId w:val="1"/>
        </w:numPr>
        <w:spacing w:after="80"/>
      </w:pPr>
      <w:r>
        <w:rPr>
          <w:color w:val="374151"/>
          <w:sz w:val="22"/>
          <w:szCs w:val="22"/>
          <w:rFonts w:ascii="Calibri" w:cs="Calibri" w:eastAsia="Calibri" w:hAnsi="Calibri"/>
        </w:rPr>
        <w:t xml:space="preserve">Implementar patches e atualizações de segurança de acordo com os SLAs definidos</w:t>
      </w:r>
    </w:p>
    <w:p>
      <w:pPr>
        <w:pStyle w:val="ListParagraph"/>
        <w:numPr>
          <w:ilvl w:val="0"/>
          <w:numId w:val="1"/>
        </w:numPr>
        <w:spacing w:after="80"/>
      </w:pPr>
      <w:r>
        <w:rPr>
          <w:color w:val="374151"/>
          <w:sz w:val="22"/>
          <w:szCs w:val="22"/>
          <w:rFonts w:ascii="Calibri" w:cs="Calibri" w:eastAsia="Calibri" w:hAnsi="Calibri"/>
        </w:rPr>
        <w:t xml:space="preserve">Manter os sistemas de gestão de patches e de inventário de ativos</w:t>
      </w:r>
    </w:p>
    <w:p>
      <w:pPr>
        <w:pStyle w:val="ListParagraph"/>
        <w:numPr>
          <w:ilvl w:val="0"/>
          <w:numId w:val="1"/>
        </w:numPr>
        <w:spacing w:after="80"/>
      </w:pPr>
      <w:r>
        <w:rPr>
          <w:color w:val="374151"/>
          <w:sz w:val="22"/>
          <w:szCs w:val="22"/>
          <w:rFonts w:ascii="Calibri" w:cs="Calibri" w:eastAsia="Calibri" w:hAnsi="Calibri"/>
        </w:rPr>
        <w:t xml:space="preserve">Implementar controlos compensatórios para vulnerabilidades com exceção aprovada</w:t>
      </w:r>
    </w:p>
    <w:p>
      <w:pPr>
        <w:pStyle w:val="Heading2"/>
        <w:spacing w:before="320" w:after="160"/>
      </w:pPr>
      <w:r>
        <w:rPr>
          <w:b/>
          <w:bCs/>
          <w:color w:val="1e3a8a"/>
          <w:sz w:val="28"/>
          <w:szCs w:val="28"/>
          <w:rFonts w:ascii="Calibri" w:cs="Calibri" w:eastAsia="Calibri" w:hAnsi="Calibri"/>
        </w:rPr>
        <w:t xml:space="preserve">13.3. Proprietários de sistemas</w:t>
      </w:r>
    </w:p>
    <w:p>
      <w:pPr>
        <w:pStyle w:val="ListParagraph"/>
        <w:numPr>
          <w:ilvl w:val="0"/>
          <w:numId w:val="1"/>
        </w:numPr>
        <w:spacing w:after="80"/>
      </w:pPr>
      <w:r>
        <w:rPr>
          <w:color w:val="374151"/>
          <w:sz w:val="22"/>
          <w:szCs w:val="22"/>
          <w:rFonts w:ascii="Calibri" w:cs="Calibri" w:eastAsia="Calibri" w:hAnsi="Calibri"/>
        </w:rPr>
        <w:t xml:space="preserve">Priorizar a remediação de vulnerabilidades nos sistemas sob sua responsabilidade</w:t>
      </w:r>
    </w:p>
    <w:p>
      <w:pPr>
        <w:pStyle w:val="ListParagraph"/>
        <w:numPr>
          <w:ilvl w:val="0"/>
          <w:numId w:val="1"/>
        </w:numPr>
        <w:spacing w:after="80"/>
      </w:pPr>
      <w:r>
        <w:rPr>
          <w:color w:val="374151"/>
          <w:sz w:val="22"/>
          <w:szCs w:val="22"/>
          <w:rFonts w:ascii="Calibri" w:cs="Calibri" w:eastAsia="Calibri" w:hAnsi="Calibri"/>
        </w:rPr>
        <w:t xml:space="preserve">Aprovar ou rejeitar patches antes da implementação em sistemas críticos</w:t>
      </w:r>
    </w:p>
    <w:p>
      <w:pPr>
        <w:pStyle w:val="ListParagraph"/>
        <w:numPr>
          <w:ilvl w:val="0"/>
          <w:numId w:val="1"/>
        </w:numPr>
        <w:spacing w:after="80"/>
      </w:pPr>
      <w:r>
        <w:rPr>
          <w:color w:val="374151"/>
          <w:sz w:val="22"/>
          <w:szCs w:val="22"/>
          <w:rFonts w:ascii="Calibri" w:cs="Calibri" w:eastAsia="Calibri" w:hAnsi="Calibri"/>
        </w:rPr>
        <w:t xml:space="preserve">Autorizar janelas de manutenção para implementação de patches</w:t>
      </w:r>
    </w:p>
    <w:p>
      <w:pPr>
        <w:pStyle w:val="ListParagraph"/>
        <w:numPr>
          <w:ilvl w:val="0"/>
          <w:numId w:val="1"/>
        </w:numPr>
        <w:spacing w:after="80"/>
      </w:pPr>
      <w:r>
        <w:rPr>
          <w:color w:val="374151"/>
          <w:sz w:val="22"/>
          <w:szCs w:val="22"/>
          <w:rFonts w:ascii="Calibri" w:cs="Calibri" w:eastAsia="Calibri" w:hAnsi="Calibri"/>
        </w:rPr>
        <w:t xml:space="preserve">Participar na avaliação e aprovação de exceções às SLAs</w:t>
      </w:r>
    </w:p>
    <w:p>
      <w:pPr>
        <w:pStyle w:val="Heading2"/>
        <w:spacing w:before="320" w:after="160"/>
      </w:pPr>
      <w:r>
        <w:rPr>
          <w:b/>
          <w:bCs/>
          <w:color w:val="1e3a8a"/>
          <w:sz w:val="28"/>
          <w:szCs w:val="28"/>
          <w:rFonts w:ascii="Calibri" w:cs="Calibri" w:eastAsia="Calibri" w:hAnsi="Calibri"/>
        </w:rPr>
        <w:t xml:space="preserve">13.4. Programadores</w:t>
      </w:r>
    </w:p>
    <w:p>
      <w:pPr>
        <w:pStyle w:val="ListParagraph"/>
        <w:numPr>
          <w:ilvl w:val="0"/>
          <w:numId w:val="1"/>
        </w:numPr>
        <w:spacing w:after="80"/>
      </w:pPr>
      <w:r>
        <w:rPr>
          <w:color w:val="374151"/>
          <w:sz w:val="22"/>
          <w:szCs w:val="22"/>
          <w:rFonts w:ascii="Calibri" w:cs="Calibri" w:eastAsia="Calibri" w:hAnsi="Calibri"/>
        </w:rPr>
        <w:t xml:space="preserve">Corrigir vulnerabilidades identificadas em código desenvolvido internamente</w:t>
      </w:r>
    </w:p>
    <w:p>
      <w:pPr>
        <w:pStyle w:val="ListParagraph"/>
        <w:numPr>
          <w:ilvl w:val="0"/>
          <w:numId w:val="1"/>
        </w:numPr>
        <w:spacing w:after="80"/>
      </w:pPr>
      <w:r>
        <w:rPr>
          <w:color w:val="374151"/>
          <w:sz w:val="22"/>
          <w:szCs w:val="22"/>
          <w:rFonts w:ascii="Calibri" w:cs="Calibri" w:eastAsia="Calibri" w:hAnsi="Calibri"/>
        </w:rPr>
        <w:t xml:space="preserve">Manter as dependências de software atualizadas</w:t>
      </w:r>
    </w:p>
    <w:p>
      <w:pPr>
        <w:pStyle w:val="ListParagraph"/>
        <w:numPr>
          <w:ilvl w:val="0"/>
          <w:numId w:val="1"/>
        </w:numPr>
        <w:spacing w:after="80"/>
      </w:pPr>
      <w:r>
        <w:rPr>
          <w:color w:val="374151"/>
          <w:sz w:val="22"/>
          <w:szCs w:val="22"/>
          <w:rFonts w:ascii="Calibri" w:cs="Calibri" w:eastAsia="Calibri" w:hAnsi="Calibri"/>
        </w:rPr>
        <w:t xml:space="preserve">Integrar ferramentas de análise de vulnerabilidades no processo de desenvolvimento</w:t>
      </w:r>
    </w:p>
    <w:p>
      <w:pPr>
        <w:pStyle w:val="ListParagraph"/>
        <w:numPr>
          <w:ilvl w:val="0"/>
          <w:numId w:val="1"/>
        </w:numPr>
        <w:spacing w:after="80"/>
      </w:pPr>
      <w:r>
        <w:rPr>
          <w:color w:val="374151"/>
          <w:sz w:val="22"/>
          <w:szCs w:val="22"/>
          <w:rFonts w:ascii="Calibri" w:cs="Calibri" w:eastAsia="Calibri" w:hAnsi="Calibri"/>
        </w:rPr>
        <w:t xml:space="preserve">Seguir as melhores práticas de desenvolvimento seguro para prevenir novas vulnerabilidades</w:t>
      </w:r>
    </w:p>
    <w:p>
      <w:pPr>
        <w:shd w:color="dbeafe" w:val="solid"/>
        <w:spacing w:before="160" w:after="160"/>
        <w:ind w:left="360" w:right="360"/>
      </w:pPr>
      <w:r>
        <w:rPr>
          <w:i/>
          <w:iCs/>
          <w:color w:val="1e3a8a"/>
          <w:sz w:val="22"/>
          <w:szCs w:val="22"/>
          <w:rFonts w:ascii="Calibri" w:cs="Calibri" w:eastAsia="Calibri" w:hAnsi="Calibri"/>
        </w:rPr>
        <w:t xml:space="preserve">Art. 27.º alínea d) e Art. 38.º e 39.º do DL 125/2025 - responsabilidade pela gestão de vulnerabilidades e divulgação coordenada.</w:t>
      </w:r>
    </w:p>
    <w:sectPr>
      <w:headerReference w:type="default" r:id="rId6"/>
      <w:footerReference w:type="default" r:id="rId7"/>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Bdr>
        <w:top w:val="single" w:color="1e3a8a" w:sz="6" w:space="1"/>
      </w:pBdr>
      <w:jc w:val="center"/>
    </w:pPr>
    <w:r>
      <w:rPr>
        <w:color w:val="9ca3af"/>
        <w:sz w:val="18"/>
        <w:szCs w:val="18"/>
        <w:rFonts w:ascii="Calibri" w:cs="Calibri" w:eastAsia="Calibri" w:hAnsi="Calibri"/>
      </w:rPr>
      <w:t xml:space="preserve">Confidencial  |  Página </w:t>
    </w:r>
    <w:r>
      <w:rPr>
        <w:color w:val="9ca3af"/>
        <w:sz w:val="18"/>
        <w:szCs w:val="18"/>
        <w:rFonts w:ascii="Calibri" w:cs="Calibri" w:eastAsia="Calibri" w:hAnsi="Calibri"/>
      </w:rPr>
      <w:fldChar w:fldCharType="begin"/>
      <w:instrText xml:space="preserve">PAGE</w:instrText>
      <w:fldChar w:fldCharType="separate"/>
      <w:fldChar w:fldCharType="end"/>
    </w:r>
    <w:r>
      <w:rPr>
        <w:color w:val="9ca3af"/>
        <w:sz w:val="18"/>
        <w:szCs w:val="18"/>
        <w:rFonts w:ascii="Calibri" w:cs="Calibri" w:eastAsia="Calibri" w:hAnsi="Calibri"/>
      </w:rPr>
      <w:t xml:space="preserve"> de </w:t>
    </w:r>
    <w:r>
      <w:rPr>
        <w:color w:val="9ca3af"/>
        <w:sz w:val="18"/>
        <w:szCs w:val="18"/>
        <w:rFonts w:ascii="Calibri" w:cs="Calibri" w:eastAsia="Calibri" w:hAnsi="Calibri"/>
      </w:rPr>
      <w:fldChar w:fldCharType="begin"/>
      <w:instrText xml:space="preserve">NUMPAGES</w:instrText>
      <w:fldChar w:fldCharType="separate"/>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pPr>
      <w:pBdr>
        <w:bottom w:val="single" w:color="1e3a8a" w:sz="6" w:space="1"/>
      </w:pBdr>
      <w:jc w:val="right"/>
    </w:pPr>
    <w:r>
      <w:rPr>
        <w:color w:val="9ca3af"/>
        <w:sz w:val="18"/>
        <w:szCs w:val="18"/>
        <w:rFonts w:ascii="Calibri" w:cs="Calibri" w:eastAsia="Calibri" w:hAnsi="Calibri"/>
      </w:rPr>
      <w:t xml:space="preserve">Política de gestão de vulnerabilidades</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updateFields/>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u w:val="single"/>
      <w:color w:val="0563C1"/>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comments" Target="comments.xml"/><Relationship Id="rId6" Type="http://schemas.openxmlformats.org/officeDocument/2006/relationships/header" Target="header1.xml"/><Relationship Id="rId7" Type="http://schemas.openxmlformats.org/officeDocument/2006/relationships/footer" Target="footer1.xml"/></Relationships>
</file>

<file path=word/_rels/fontTable.xml.rels><?xml version="1.0" encoding="UTF-8"?><Relationships xmlns="http://schemas.openxmlformats.org/package/2006/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2026-03-18T13:34:02.945Z</dcterms:created>
  <dcterms:modified xsi:type="dcterms:W3CDTF">2026-03-18T13:34:02.945Z</dcterms:modified>
</cp:coreProperties>
</file>

<file path=docProps/custom.xml><?xml version="1.0" encoding="utf-8"?>
<Properties xmlns="http://schemas.openxmlformats.org/officeDocument/2006/custom-properties" xmlns:vt="http://schemas.openxmlformats.org/officeDocument/2006/docPropsVTypes"/>
</file>