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</w:p>
    <w:p>
      <w:pPr>
        <w:jc w:val="center"/>
      </w:pPr>
      <w:r>
        <w:rPr>
          <w:color w:val="9CA3AF"/>
          <w:sz w:val="22"/>
        </w:rPr>
        <w:t>[Nome da organização]</w:t>
      </w:r>
    </w:p>
    <w:p>
      <w:pPr>
        <w:jc w:val="center"/>
      </w:pPr>
      <w:r>
        <w:rPr>
          <w:b/>
          <w:color w:val="1E3A8A"/>
          <w:sz w:val="28"/>
        </w:rPr>
        <w:t>Procedimento de investigação forense digital</w:t>
      </w:r>
    </w:p>
    <w:p>
      <w:pPr>
        <w:jc w:val="center"/>
      </w:pPr>
      <w:r>
        <w:rPr>
          <w:color w:val="374151"/>
          <w:sz w:val="22"/>
        </w:rPr>
        <w:t>Conformidade com o Decreto-Lei n.º 125/2025 (NIS2)</w:t>
      </w:r>
    </w:p>
    <w:p>
      <w:pPr>
        <w:jc w:val="center"/>
      </w:pPr>
      <w:r>
        <w:rPr>
          <w:b/>
          <w:color w:val="374151"/>
          <w:sz w:val="22"/>
        </w:rPr>
        <w:t xml:space="preserve">Versão: </w:t>
      </w:r>
      <w:r>
        <w:rPr>
          <w:color w:val="374151"/>
          <w:sz w:val="22"/>
        </w:rPr>
        <w:t>1.0</w:t>
      </w:r>
    </w:p>
    <w:p>
      <w:pPr>
        <w:jc w:val="center"/>
      </w:pPr>
      <w:r>
        <w:rPr>
          <w:b/>
          <w:color w:val="374151"/>
          <w:sz w:val="22"/>
        </w:rPr>
        <w:t xml:space="preserve">Data: </w:t>
      </w:r>
      <w:r>
        <w:rPr>
          <w:color w:val="374151"/>
          <w:sz w:val="22"/>
        </w:rPr>
        <w:t>09/04/2026</w:t>
      </w:r>
    </w:p>
    <w:p>
      <w:pPr>
        <w:jc w:val="center"/>
      </w:pPr>
      <w:r>
        <w:rPr>
          <w:b/>
          <w:color w:val="374151"/>
          <w:sz w:val="22"/>
        </w:rPr>
        <w:t xml:space="preserve">Classificação: </w:t>
      </w:r>
      <w:r>
        <w:rPr>
          <w:b/>
          <w:color w:val="DC2626"/>
          <w:sz w:val="22"/>
        </w:rPr>
        <w:t>Confidencial</w:t>
      </w:r>
    </w:p>
    <w:p/>
    <w:p>
      <w:pPr>
        <w:pStyle w:val="Heading1"/>
      </w:pPr>
      <w:r>
        <w:rPr>
          <w:b/>
          <w:color w:val="1E3A8A"/>
          <w:sz w:val="32"/>
        </w:rPr>
        <w:t>1. Objetivo</w:t>
      </w:r>
    </w:p>
    <w:p>
      <w:r>
        <w:rPr>
          <w:color w:val="374151"/>
          <w:sz w:val="22"/>
        </w:rPr>
        <w:t>Este procedimento define as etapas, responsabilidades e requisitos técnicos para a realização de investigações forenses digitais no contexto de incidentes de cibersegurança, em conformidade com o Art. 27.º alínea b) do Decreto-Lei n.º 125/2025 (NIS2), que exige a capacidade de resposta a incidentes e de investigação post-mortem. O procedimento garante a admissibilidade das evidências digitais em processos judiciais e administrativos.</w:t>
      </w:r>
    </w:p>
    <w:p>
      <w:r>
        <w:rPr>
          <w:color w:val="374151"/>
          <w:sz w:val="22"/>
        </w:rPr>
        <w:t>O presente procedimento complementa o plano de resposta a incidentes da organização, sendo ativado quando a gravidade do incidente ou as suas implicações legais justificam uma análise forense formal.</w:t>
      </w:r>
    </w:p>
    <w:p>
      <w:pPr>
        <w:pStyle w:val="Heading1"/>
      </w:pPr>
      <w:r>
        <w:rPr>
          <w:b/>
          <w:color w:val="1E3A8A"/>
          <w:sz w:val="32"/>
        </w:rPr>
        <w:t>2. Quando ativar</w:t>
      </w:r>
    </w:p>
    <w:p>
      <w:r>
        <w:rPr>
          <w:color w:val="374151"/>
          <w:sz w:val="22"/>
        </w:rPr>
        <w:t>A investigação forense digital deve ser ativada nas seguintes situações:</w:t>
      </w:r>
    </w:p>
    <w:p>
      <w:pPr>
        <w:pStyle w:val="ListParagraph"/>
      </w:pPr>
      <w:r>
        <w:rPr>
          <w:color w:val="374151"/>
          <w:sz w:val="22"/>
        </w:rPr>
        <w:t>Incidentes classificados como graves ou críticos nos termos do Art. 34.º do DL 125/2025 (incidentes com impacto significativo que obrigam à notificação ao CNCS).</w:t>
      </w:r>
    </w:p>
    <w:p>
      <w:pPr>
        <w:pStyle w:val="ListParagraph"/>
      </w:pPr>
      <w:r>
        <w:rPr>
          <w:color w:val="374151"/>
          <w:sz w:val="22"/>
        </w:rPr>
        <w:t>Suspeita de acesso não autorizado a sistemas ou dados de caráter sensível ou pessoal.</w:t>
      </w:r>
    </w:p>
    <w:p>
      <w:pPr>
        <w:pStyle w:val="ListParagraph"/>
      </w:pPr>
      <w:r>
        <w:rPr>
          <w:color w:val="374151"/>
          <w:sz w:val="22"/>
        </w:rPr>
        <w:t>Indícios de ação maliciosa por parte de colaboradores internos (ameaça interna).</w:t>
      </w:r>
    </w:p>
    <w:p>
      <w:pPr>
        <w:pStyle w:val="ListParagraph"/>
      </w:pPr>
      <w:r>
        <w:rPr>
          <w:color w:val="374151"/>
          <w:sz w:val="22"/>
        </w:rPr>
        <w:t>Incidentes com potencial implicação criminal que possam requerer participação à Polícia Judiciária (PJ) ou ao Ministério Público.</w:t>
      </w:r>
    </w:p>
    <w:p>
      <w:pPr>
        <w:pStyle w:val="ListParagraph"/>
      </w:pPr>
      <w:r>
        <w:rPr>
          <w:color w:val="374151"/>
          <w:sz w:val="22"/>
        </w:rPr>
        <w:t>Violações de dados pessoais que obriguem à notificação à CNPD nos termos do Art. 33.º do RGPD.</w:t>
      </w:r>
    </w:p>
    <w:p>
      <w:pPr>
        <w:pStyle w:val="ListParagraph"/>
      </w:pPr>
      <w:r>
        <w:rPr>
          <w:color w:val="374151"/>
          <w:sz w:val="22"/>
        </w:rPr>
        <w:t>Pedido expresso das autoridades competentes ou de seguradoras no âmbito de processos de sinistro.</w:t>
      </w:r>
    </w:p>
    <w:p>
      <w:pPr>
        <w:pStyle w:val="ListParagraph"/>
      </w:pPr>
      <w:r>
        <w:rPr>
          <w:color w:val="374151"/>
          <w:sz w:val="22"/>
        </w:rPr>
        <w:t>Decisão do CISO ou do órgão de gestão, independentemente da gravidade classificada.</w:t>
      </w:r>
    </w:p>
    <w:p>
      <w:pPr>
        <w:pStyle w:val="Heading1"/>
      </w:pPr>
      <w:r>
        <w:rPr>
          <w:b/>
          <w:color w:val="1E3A8A"/>
          <w:sz w:val="32"/>
        </w:rPr>
        <w:t>3. Preservação de evidências (chain of custody)</w:t>
      </w:r>
    </w:p>
    <w:p>
      <w:r>
        <w:rPr>
          <w:color w:val="374151"/>
          <w:sz w:val="22"/>
        </w:rPr>
        <w:t>A preservação das evidências digitais é a etapa mais crítica da investigação forense. Qualquer contaminação ou alteração das evidências pode comprometer a sua admissibilidade legal.</w:t>
      </w:r>
    </w:p>
    <w:p>
      <w:r>
        <w:rPr>
          <w:color w:val="374151"/>
          <w:sz w:val="22"/>
        </w:rPr>
        <w:t>Princípios fundamentais de preservação:</w:t>
      </w:r>
    </w:p>
    <w:p>
      <w:pPr>
        <w:pStyle w:val="ListParagraph"/>
      </w:pPr>
      <w:r>
        <w:rPr>
          <w:color w:val="374151"/>
          <w:sz w:val="22"/>
        </w:rPr>
        <w:t>Não modificar: nunca iniciar, reiniciar ou desligar sistemas comprometidos sem autorização expressa do investigador forense responsável.</w:t>
      </w:r>
    </w:p>
    <w:p>
      <w:pPr>
        <w:pStyle w:val="ListParagraph"/>
      </w:pPr>
      <w:r>
        <w:rPr>
          <w:color w:val="374151"/>
          <w:sz w:val="22"/>
        </w:rPr>
        <w:t>Isolar: desligar os sistemas comprometidos da rede imediatamente, sem os desligar fisicamente (para preservar memória volátil).</w:t>
      </w:r>
    </w:p>
    <w:p>
      <w:pPr>
        <w:pStyle w:val="ListParagraph"/>
      </w:pPr>
      <w:r>
        <w:rPr>
          <w:color w:val="374151"/>
          <w:sz w:val="22"/>
        </w:rPr>
        <w:t>Documentar: fotografar o estado dos ecrãs e equipamentos antes de qualquer intervenção.</w:t>
      </w:r>
    </w:p>
    <w:p>
      <w:pPr>
        <w:pStyle w:val="ListParagraph"/>
      </w:pPr>
      <w:r>
        <w:rPr>
          <w:color w:val="374151"/>
          <w:sz w:val="22"/>
        </w:rPr>
        <w:t>Registar: documentar todas as ações realizadas, com hora, responsável e justificação.</w:t>
      </w:r>
    </w:p>
    <w:p>
      <w:r>
        <w:rPr>
          <w:color w:val="374151"/>
          <w:sz w:val="22"/>
        </w:rPr>
        <w:t>Registo de cadeia de custódia (chain of custody):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568"/>
        <w:gridCol w:w="1568"/>
        <w:gridCol w:w="1568"/>
        <w:gridCol w:w="1568"/>
        <w:gridCol w:w="1568"/>
        <w:gridCol w:w="1568"/>
      </w:tblGrid>
      <w:tr>
        <w:tc>
          <w:tcPr>
            <w:tcW w:type="dxa" w:w="1568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ID Evidência</w:t>
            </w:r>
          </w:p>
        </w:tc>
        <w:tc>
          <w:tcPr>
            <w:tcW w:type="dxa" w:w="1568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Descrição</w:t>
            </w:r>
          </w:p>
        </w:tc>
        <w:tc>
          <w:tcPr>
            <w:tcW w:type="dxa" w:w="1568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Recolhida por</w:t>
            </w:r>
          </w:p>
        </w:tc>
        <w:tc>
          <w:tcPr>
            <w:tcW w:type="dxa" w:w="1568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Data/Hora</w:t>
            </w:r>
          </w:p>
        </w:tc>
        <w:tc>
          <w:tcPr>
            <w:tcW w:type="dxa" w:w="1568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Hash SHA-256</w:t>
            </w:r>
          </w:p>
        </w:tc>
        <w:tc>
          <w:tcPr>
            <w:tcW w:type="dxa" w:w="1568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Localização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EV-001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Disco rígido servidor WEB-01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[Data/Hora]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[Hash]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Cofre TI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EV-002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Dump de memória RAM servidor WEB-01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[Data/Hora]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[Hash]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Cofre TI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EV-003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Logs SIEM período 01/04 a 09/04/2026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[Data/Hora]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[Hash]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Sistema SIEM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4. Aquisição forense</w:t>
      </w:r>
    </w:p>
    <w:p>
      <w:r>
        <w:rPr>
          <w:color w:val="374151"/>
          <w:sz w:val="22"/>
        </w:rPr>
        <w:t>A aquisição forense consiste na criação de cópias exatas e verificáveis dos suportes de evidências, sem alterar os originais.</w:t>
      </w:r>
    </w:p>
    <w:p>
      <w:r>
        <w:rPr>
          <w:color w:val="374151"/>
          <w:sz w:val="22"/>
        </w:rPr>
        <w:t>Imagem de disco:</w:t>
      </w:r>
    </w:p>
    <w:p>
      <w:pPr>
        <w:pStyle w:val="ListParagraph"/>
      </w:pPr>
      <w:r>
        <w:rPr>
          <w:color w:val="374151"/>
          <w:sz w:val="22"/>
        </w:rPr>
        <w:t>Utilizar bloqueadores de escrita hardware (write blocker) antes de conectar qualquer suporte original.</w:t>
      </w:r>
    </w:p>
    <w:p>
      <w:pPr>
        <w:pStyle w:val="ListParagraph"/>
      </w:pPr>
      <w:r>
        <w:rPr>
          <w:color w:val="374151"/>
          <w:sz w:val="22"/>
        </w:rPr>
        <w:t>Criar imagem forense em formato E01 (EnCase) ou DD com a ferramenta FTK Imager, Paladin ou equivalente certificado.</w:t>
      </w:r>
    </w:p>
    <w:p>
      <w:pPr>
        <w:pStyle w:val="ListParagraph"/>
      </w:pPr>
      <w:r>
        <w:rPr>
          <w:color w:val="374151"/>
          <w:sz w:val="22"/>
        </w:rPr>
        <w:t>Calcular e verificar hashes MD5 e SHA-256 da imagem e do original — os valores devem ser idênticos.</w:t>
      </w:r>
    </w:p>
    <w:p>
      <w:pPr>
        <w:pStyle w:val="ListParagraph"/>
      </w:pPr>
      <w:r>
        <w:rPr>
          <w:color w:val="374151"/>
          <w:sz w:val="22"/>
        </w:rPr>
        <w:t>Armazenar a imagem em suporte separado e selado, com etiqueta de evidência.</w:t>
      </w:r>
    </w:p>
    <w:p>
      <w:r>
        <w:rPr>
          <w:color w:val="374151"/>
          <w:sz w:val="22"/>
        </w:rPr>
        <w:t>Aquisição de memória RAM (volátil):</w:t>
      </w:r>
    </w:p>
    <w:p>
      <w:pPr>
        <w:pStyle w:val="ListParagraph"/>
      </w:pPr>
      <w:r>
        <w:rPr>
          <w:color w:val="374151"/>
          <w:sz w:val="22"/>
        </w:rPr>
        <w:t>Executar a aquisição de RAM antes de qualquer outra ação (a memória é perdida ao desligar).</w:t>
      </w:r>
    </w:p>
    <w:p>
      <w:pPr>
        <w:pStyle w:val="ListParagraph"/>
      </w:pPr>
      <w:r>
        <w:rPr>
          <w:color w:val="374151"/>
          <w:sz w:val="22"/>
        </w:rPr>
        <w:t>Utilizar ferramentas como WinPmem, Magnet RAM Capture ou DumpIt.</w:t>
      </w:r>
    </w:p>
    <w:p>
      <w:pPr>
        <w:pStyle w:val="ListParagraph"/>
      </w:pPr>
      <w:r>
        <w:rPr>
          <w:color w:val="374151"/>
          <w:sz w:val="22"/>
        </w:rPr>
        <w:t>Calcular hash SHA-256 do dump de memória imediatamente após a aquisição.</w:t>
      </w:r>
    </w:p>
    <w:p>
      <w:r>
        <w:rPr>
          <w:color w:val="374151"/>
          <w:sz w:val="22"/>
        </w:rPr>
        <w:t>Aquisição de logs:</w:t>
      </w:r>
    </w:p>
    <w:p>
      <w:pPr>
        <w:pStyle w:val="ListParagraph"/>
      </w:pPr>
      <w:r>
        <w:rPr>
          <w:color w:val="374151"/>
          <w:sz w:val="22"/>
        </w:rPr>
        <w:t>Exportar logs do SIEM, firewall, Active Directory, VPN e aplicações relevantes para o período em análise.</w:t>
      </w:r>
    </w:p>
    <w:p>
      <w:pPr>
        <w:pStyle w:val="ListParagraph"/>
      </w:pPr>
      <w:r>
        <w:rPr>
          <w:color w:val="374151"/>
          <w:sz w:val="22"/>
        </w:rPr>
        <w:t>Garantir a integridade dos logs com hash antes da exportação e após.</w:t>
      </w:r>
    </w:p>
    <w:p>
      <w:pPr>
        <w:pStyle w:val="ListParagraph"/>
      </w:pPr>
      <w:r>
        <w:rPr>
          <w:color w:val="374151"/>
          <w:sz w:val="22"/>
        </w:rPr>
        <w:t>Preservar os logs no SIEM em modo imutável (se a plataforma o suportar).</w:t>
      </w:r>
    </w:p>
    <w:p>
      <w:pPr>
        <w:pStyle w:val="Heading1"/>
      </w:pPr>
      <w:r>
        <w:rPr>
          <w:b/>
          <w:color w:val="1E3A8A"/>
          <w:sz w:val="32"/>
        </w:rPr>
        <w:t>5. Análise forense</w:t>
      </w:r>
    </w:p>
    <w:p>
      <w:r>
        <w:rPr>
          <w:color w:val="374151"/>
          <w:sz w:val="22"/>
        </w:rPr>
        <w:t>A análise forense deve ser realizada sobre cópias das evidências, nunca sobre os originais. As ferramentas utilizadas devem ser validadas e reconhecidas no meio forense.</w:t>
      </w:r>
    </w:p>
    <w:p>
      <w:r>
        <w:rPr>
          <w:color w:val="374151"/>
          <w:sz w:val="22"/>
        </w:rPr>
        <w:t>Áreas de análise prioritárias:</w:t>
      </w:r>
    </w:p>
    <w:p>
      <w:pPr>
        <w:pStyle w:val="ListParagraph"/>
      </w:pPr>
      <w:r>
        <w:rPr>
          <w:color w:val="374151"/>
          <w:sz w:val="22"/>
        </w:rPr>
        <w:t>Cronologia do incidente: reconstrução da linha temporal de eventos com base em logs, timestamps de ficheiros e artefactos do sistema operativo.</w:t>
      </w:r>
    </w:p>
    <w:p>
      <w:pPr>
        <w:pStyle w:val="ListParagraph"/>
      </w:pPr>
      <w:r>
        <w:rPr>
          <w:color w:val="374151"/>
          <w:sz w:val="22"/>
        </w:rPr>
        <w:t>Persistência e movimento lateral: identificação de mecanismos de persistência (tarefas agendadas, chaves de registo, serviços) e de movimento lateral entre sistemas.</w:t>
      </w:r>
    </w:p>
    <w:p>
      <w:pPr>
        <w:pStyle w:val="ListParagraph"/>
      </w:pPr>
      <w:r>
        <w:rPr>
          <w:color w:val="374151"/>
          <w:sz w:val="22"/>
        </w:rPr>
        <w:t>Exfiltração de dados: análise de tráfego de rede, volumes de dados transferidos e destinos externos contactados.</w:t>
      </w:r>
    </w:p>
    <w:p>
      <w:pPr>
        <w:pStyle w:val="ListParagraph"/>
      </w:pPr>
      <w:r>
        <w:rPr>
          <w:color w:val="374151"/>
          <w:sz w:val="22"/>
        </w:rPr>
        <w:t>Artefactos de malware: identificação, isolamento e análise de código malicioso, com recurso a sandboxing e análise estática/dinâmica.</w:t>
      </w:r>
    </w:p>
    <w:p>
      <w:pPr>
        <w:pStyle w:val="ListParagraph"/>
      </w:pPr>
      <w:r>
        <w:rPr>
          <w:color w:val="374151"/>
          <w:sz w:val="22"/>
        </w:rPr>
        <w:t>Contas comprometidas: identificação de credenciais utilizadas, padrões de acesso anómalos e escaladas de privilégios.</w:t>
      </w:r>
    </w:p>
    <w:p>
      <w:pPr>
        <w:pStyle w:val="Heading1"/>
      </w:pPr>
      <w:r>
        <w:rPr>
          <w:b/>
          <w:color w:val="1E3A8A"/>
          <w:sz w:val="32"/>
        </w:rPr>
        <w:t>6. Relatório forense</w:t>
      </w:r>
    </w:p>
    <w:p>
      <w:r>
        <w:rPr>
          <w:color w:val="374151"/>
          <w:sz w:val="22"/>
        </w:rPr>
        <w:t>O relatório forense deve ser elaborado pelo investigador responsável e inclui obrigatoriamente:</w:t>
      </w:r>
    </w:p>
    <w:p>
      <w:pPr>
        <w:pStyle w:val="ListParagraph"/>
      </w:pPr>
      <w:r>
        <w:rPr>
          <w:color w:val="374151"/>
          <w:sz w:val="22"/>
        </w:rPr>
        <w:t>Sumário executivo: descrição do incidente, impacto, principais conclusões e recomendações imediatas (máximo 2 páginas).</w:t>
      </w:r>
    </w:p>
    <w:p>
      <w:pPr>
        <w:pStyle w:val="ListParagraph"/>
      </w:pPr>
      <w:r>
        <w:rPr>
          <w:color w:val="374151"/>
          <w:sz w:val="22"/>
        </w:rPr>
        <w:t>Metodologia: ferramentas utilizadas, procedimentos seguidos e referências às normas aplicadas (ISO/IEC 27037, NIST SP 800-86).</w:t>
      </w:r>
    </w:p>
    <w:p>
      <w:pPr>
        <w:pStyle w:val="ListParagraph"/>
      </w:pPr>
      <w:r>
        <w:rPr>
          <w:color w:val="374151"/>
          <w:sz w:val="22"/>
        </w:rPr>
        <w:t>Cadeia de custódia completa: registo de todas as evidências recolhidas e respetivos hashes.</w:t>
      </w:r>
    </w:p>
    <w:p>
      <w:pPr>
        <w:pStyle w:val="ListParagraph"/>
      </w:pPr>
      <w:r>
        <w:rPr>
          <w:color w:val="374151"/>
          <w:sz w:val="22"/>
        </w:rPr>
        <w:t>Cronologia detalhada: linha temporal do incidente com evidências de suporte.</w:t>
      </w:r>
    </w:p>
    <w:p>
      <w:pPr>
        <w:pStyle w:val="ListParagraph"/>
      </w:pPr>
      <w:r>
        <w:rPr>
          <w:color w:val="374151"/>
          <w:sz w:val="22"/>
        </w:rPr>
        <w:t>Conclusões técnicas: causa raiz, vetor de ataque, sistemas afetados, dados potencialmente comprometidos.</w:t>
      </w:r>
    </w:p>
    <w:p>
      <w:pPr>
        <w:pStyle w:val="ListParagraph"/>
      </w:pPr>
      <w:r>
        <w:rPr>
          <w:color w:val="374151"/>
          <w:sz w:val="22"/>
        </w:rPr>
        <w:t>Indicadores de compromisso (IoC): hashes de malware, IPs, domínios e assinaturas para bloqueio e partilha.</w:t>
      </w:r>
    </w:p>
    <w:p>
      <w:pPr>
        <w:pStyle w:val="ListParagraph"/>
      </w:pPr>
      <w:r>
        <w:rPr>
          <w:color w:val="374151"/>
          <w:sz w:val="22"/>
        </w:rPr>
        <w:t>Recomendações: medidas corretivas e preventivas, ordenadas por prioridade.</w:t>
      </w:r>
    </w:p>
    <w:p>
      <w:pPr>
        <w:pStyle w:val="ListParagraph"/>
      </w:pPr>
      <w:r>
        <w:rPr>
          <w:color w:val="374151"/>
          <w:sz w:val="22"/>
        </w:rPr>
        <w:t>Anexos: evidências relevantes, logs, capturas de ecrã (numeradas e referenciadas no texto).</w:t>
      </w:r>
    </w:p>
    <w:p>
      <w:pPr>
        <w:pStyle w:val="Heading1"/>
      </w:pPr>
      <w:r>
        <w:rPr>
          <w:b/>
          <w:color w:val="1E3A8A"/>
          <w:sz w:val="32"/>
        </w:rPr>
        <w:t>7. Entrega à Polícia Judiciária</w:t>
      </w:r>
    </w:p>
    <w:p>
      <w:r>
        <w:rPr>
          <w:color w:val="374151"/>
          <w:sz w:val="22"/>
        </w:rPr>
        <w:t>Quando o incidente envolva crime informático (ex. acesso ilegítimo, sabotagem informática, devassa de dados), a organização deve participar à Polícia Judiciária (UPSI — Unidade de Perícia de Informática e Telemática) nos termos da Lei do Cibercrime (Lei n.º 109/2009). Para tal:</w:t>
      </w:r>
    </w:p>
    <w:p>
      <w:pPr>
        <w:pStyle w:val="ListParagraph"/>
      </w:pPr>
      <w:r>
        <w:rPr>
          <w:color w:val="374151"/>
          <w:sz w:val="22"/>
        </w:rPr>
        <w:t>Contactar o CNCS (cert@cncs.gov.pt) para orientação sobre a participação criminal.</w:t>
      </w:r>
    </w:p>
    <w:p>
      <w:pPr>
        <w:pStyle w:val="ListParagraph"/>
      </w:pPr>
      <w:r>
        <w:rPr>
          <w:color w:val="374151"/>
          <w:sz w:val="22"/>
        </w:rPr>
        <w:t>Preparar as evidências originais (seladas e com cadeia de custódia documentada) para entrega formal à PJ.</w:t>
      </w:r>
    </w:p>
    <w:p>
      <w:pPr>
        <w:pStyle w:val="ListParagraph"/>
      </w:pPr>
      <w:r>
        <w:rPr>
          <w:color w:val="374151"/>
          <w:sz w:val="22"/>
        </w:rPr>
        <w:t>Não divulgar publicamente detalhes do incidente antes de coordenar com a PJ e o CNCS.</w:t>
      </w:r>
    </w:p>
    <w:p>
      <w:pPr>
        <w:pStyle w:val="ListParagraph"/>
      </w:pPr>
      <w:r>
        <w:rPr>
          <w:color w:val="374151"/>
          <w:sz w:val="22"/>
        </w:rPr>
        <w:t>Nomear um ponto de contacto único para interação com as autoridades durante todo o processo.</w:t>
      </w:r>
    </w:p>
    <w:p>
      <w:pPr>
        <w:pStyle w:val="ListParagraph"/>
      </w:pPr>
      <w:r>
        <w:rPr>
          <w:color w:val="374151"/>
          <w:sz w:val="22"/>
        </w:rPr>
        <w:t>Preservar todas as evidências até autorização formal de eliminação pelas autoridades.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Função</w:t>
            </w:r>
          </w:p>
        </w:tc>
        <w:tc>
          <w:tcPr>
            <w:tcW w:type="dxa" w:w="235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Nome</w:t>
            </w:r>
          </w:p>
        </w:tc>
        <w:tc>
          <w:tcPr>
            <w:tcW w:type="dxa" w:w="235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Assinatura</w:t>
            </w:r>
          </w:p>
        </w:tc>
        <w:tc>
          <w:tcPr>
            <w:tcW w:type="dxa" w:w="235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Data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CISO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Responsável jurídico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Administrador/Diretor-Geral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</w:tbl>
    <w:p/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