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Procedimento de gestão de chaves criptográficas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O presente procedimento define o processo de gestão do ciclo de vida completo das chaves criptográficas utilizadas pela organização, desde a geração até à destruição segura. A criptografia é um dos pilares fundamentais da proteção de dados e da segurança das comunicações, e a gestão inadequada das chaves criptográficas pode anular completamente as proteções que estas proporcionam, mesmo que os algoritmos utilizados sejam tecnicamente robustos.</w:t>
      </w:r>
    </w:p>
    <w:p>
      <w:r>
        <w:rPr>
          <w:color w:val="374151"/>
          <w:sz w:val="22"/>
        </w:rPr>
        <w:t>Em conformidade com o Art. 27.º alínea g) do Decreto-Lei n.º 125/2025, as entidades abrangidas pela NIS2 têm a obrigação de implementar políticas e procedimentos relativos à utilização de criptografia e, se adequado, de cifragem. O Art. 21.º n.º 2 alínea h) da Diretiva (UE) 2022/2555 (NIS2) estabelece especificamente a obrigação de implementar políticas e procedimentos relativos ao uso de criptografia e, se adequado, de cifragem, incluindo a gestão das chaves criptográficas.</w:t>
      </w:r>
    </w:p>
    <w:p>
      <w:r>
        <w:rPr>
          <w:color w:val="374151"/>
          <w:sz w:val="22"/>
        </w:rPr>
        <w:t>Este procedimento aplica-se a todos os sistemas de informação e infraestruturas tecnológicas da organização, abrangendo todos os tipos de chaves criptográficas utilizadas: chaves de cifragem simétrica, chaves assimétricas (pares chave pública/privada), certificados digitais X.509, chaves de sessão, tokens de autenticação e outros materiais criptográficos. O procedimento aplica-se independentemente de as chaves serem geridas internamente ou através de serviços cloud.</w:t>
      </w:r>
    </w:p>
    <w:p>
      <w:r>
        <w:rPr>
          <w:color w:val="374151"/>
          <w:sz w:val="22"/>
        </w:rPr>
        <w:t>A implementação adequada deste procedimento é essencial para garantir a confidencialidade, integridade e autenticidade dos dados e comunicações da organização. A falha na gestão de chaves é uma das principais causas de violações de segurança em organizações que utilizam criptografia mas não gerem adequadamente os materiais criptográficos.</w:t>
      </w:r>
    </w:p>
    <w:p>
      <w:pPr>
        <w:pStyle w:val="Heading1"/>
      </w:pPr>
      <w:r>
        <w:rPr>
          <w:b/>
          <w:color w:val="1E3A8A"/>
          <w:sz w:val="32"/>
        </w:rPr>
        <w:t>2. Enquadramento legal</w:t>
      </w:r>
    </w:p>
    <w:p>
      <w:r>
        <w:rPr>
          <w:color w:val="374151"/>
          <w:sz w:val="22"/>
        </w:rPr>
        <w:t>A gestão de chaves criptográficas enquadra-se nas seguintes disposições legais e normativas:</w:t>
      </w:r>
    </w:p>
    <w:p>
      <w:pPr>
        <w:pStyle w:val="ListParagraph"/>
      </w:pPr>
      <w:r>
        <w:rPr>
          <w:color w:val="374151"/>
          <w:sz w:val="22"/>
        </w:rPr>
        <w:t>Art. 27.º alínea g) do DL 125/2025 — políticas e procedimentos relativos à utilização de criptografia e, se adequado, de cifragem, incluindo a gestão segura de chaves criptográficas.</w:t>
      </w:r>
    </w:p>
    <w:p>
      <w:pPr>
        <w:pStyle w:val="ListParagraph"/>
      </w:pPr>
      <w:r>
        <w:rPr>
          <w:color w:val="374151"/>
          <w:sz w:val="22"/>
        </w:rPr>
        <w:t>Art. 21.º n.º 2 alínea h) da Diretiva NIS2 — políticas e procedimentos relativos à utilização de criptografia e, se adequado, de cifragem.</w:t>
      </w:r>
    </w:p>
    <w:p>
      <w:pPr>
        <w:pStyle w:val="ListParagraph"/>
      </w:pPr>
      <w:r>
        <w:rPr>
          <w:color w:val="374151"/>
          <w:sz w:val="22"/>
        </w:rPr>
        <w:t>Regulamento (UE) 2016/679 (RGPD) Art. 32.º — a cifragem de dados pessoais é explicitamente mencionada como medida de segurança adequada, pressupondo uma gestão adequada das chaves de cifragem.</w:t>
      </w:r>
    </w:p>
    <w:p>
      <w:pPr>
        <w:pStyle w:val="ListParagraph"/>
      </w:pPr>
      <w:r>
        <w:rPr>
          <w:color w:val="374151"/>
          <w:sz w:val="22"/>
        </w:rPr>
        <w:t>ISO/IEC 27001:2022 Controlo 8.24 — utilização de criptografia, que estabelece os requisitos para a gestão de chaves criptográficas.</w:t>
      </w:r>
    </w:p>
    <w:p>
      <w:pPr>
        <w:pStyle w:val="ListParagraph"/>
      </w:pPr>
      <w:r>
        <w:rPr>
          <w:color w:val="374151"/>
          <w:sz w:val="22"/>
        </w:rPr>
        <w:t>NIST SP 800-57 — Recomendação para gestão de chaves criptográficas, que constitui o estado da arte nesta matéria e é referenciado pelas orientações do ENISA.</w:t>
      </w:r>
    </w:p>
    <w:p>
      <w:pPr>
        <w:pStyle w:val="Heading1"/>
      </w:pPr>
      <w:r>
        <w:rPr>
          <w:b/>
          <w:color w:val="1E3A8A"/>
          <w:sz w:val="32"/>
        </w:rPr>
        <w:t>3. Tipos de chaves abrangidos</w:t>
      </w:r>
    </w:p>
    <w:p>
      <w:r>
        <w:rPr>
          <w:color w:val="374151"/>
          <w:sz w:val="22"/>
        </w:rPr>
        <w:t>O presente procedimento abrange os seguintes tipos de materiais criptográficos, com os requisitos específicos para cada um:</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Tipo de chave</w:t>
            </w:r>
          </w:p>
        </w:tc>
        <w:tc>
          <w:tcPr>
            <w:tcW w:type="dxa" w:w="2351"/>
            <w:shd w:color="1e3a8a" w:val="solid"/>
            <w:vAlign w:val="center"/>
          </w:tcPr>
          <w:p>
            <w:pPr>
              <w:jc w:val="center"/>
            </w:pPr>
            <w:r/>
            <w:r>
              <w:rPr>
                <w:b/>
                <w:color w:val="FFFFFF"/>
                <w:sz w:val="22"/>
              </w:rPr>
              <w:t>Algoritmo mínimo</w:t>
            </w:r>
          </w:p>
        </w:tc>
        <w:tc>
          <w:tcPr>
            <w:tcW w:type="dxa" w:w="2351"/>
            <w:shd w:color="1e3a8a" w:val="solid"/>
            <w:vAlign w:val="center"/>
          </w:tcPr>
          <w:p>
            <w:pPr>
              <w:jc w:val="center"/>
            </w:pPr>
            <w:r/>
            <w:r>
              <w:rPr>
                <w:b/>
                <w:color w:val="FFFFFF"/>
                <w:sz w:val="22"/>
              </w:rPr>
              <w:t>Comprimento mínimo</w:t>
            </w:r>
          </w:p>
        </w:tc>
        <w:tc>
          <w:tcPr>
            <w:tcW w:type="dxa" w:w="2351"/>
            <w:shd w:color="1e3a8a" w:val="solid"/>
            <w:vAlign w:val="center"/>
          </w:tcPr>
          <w:p>
            <w:pPr>
              <w:jc w:val="center"/>
            </w:pPr>
            <w:r/>
            <w:r>
              <w:rPr>
                <w:b/>
                <w:color w:val="FFFFFF"/>
                <w:sz w:val="22"/>
              </w:rPr>
              <w:t>Validade máxima</w:t>
            </w:r>
          </w:p>
        </w:tc>
      </w:tr>
      <w:tr>
        <w:tc>
          <w:tcPr>
            <w:tcW w:type="dxa" w:w="2351"/>
          </w:tcPr>
          <w:p>
            <w:r/>
            <w:r>
              <w:rPr>
                <w:color w:val="374151"/>
                <w:sz w:val="22"/>
              </w:rPr>
              <w:t>Cifragem simétrica (dados em repouso)</w:t>
            </w:r>
          </w:p>
        </w:tc>
        <w:tc>
          <w:tcPr>
            <w:tcW w:type="dxa" w:w="2351"/>
          </w:tcPr>
          <w:p>
            <w:r/>
            <w:r>
              <w:rPr>
                <w:color w:val="374151"/>
                <w:sz w:val="22"/>
              </w:rPr>
              <w:t>AES</w:t>
            </w:r>
          </w:p>
        </w:tc>
        <w:tc>
          <w:tcPr>
            <w:tcW w:type="dxa" w:w="2351"/>
          </w:tcPr>
          <w:p>
            <w:r/>
            <w:r>
              <w:rPr>
                <w:color w:val="374151"/>
                <w:sz w:val="22"/>
              </w:rPr>
              <w:t>256 bits</w:t>
            </w:r>
          </w:p>
        </w:tc>
        <w:tc>
          <w:tcPr>
            <w:tcW w:type="dxa" w:w="2351"/>
          </w:tcPr>
          <w:p>
            <w:r/>
            <w:r>
              <w:rPr>
                <w:color w:val="374151"/>
                <w:sz w:val="22"/>
              </w:rPr>
              <w:t>1 ano</w:t>
            </w:r>
          </w:p>
        </w:tc>
      </w:tr>
      <w:tr>
        <w:tc>
          <w:tcPr>
            <w:tcW w:type="dxa" w:w="2351"/>
          </w:tcPr>
          <w:p>
            <w:r/>
            <w:r>
              <w:rPr>
                <w:color w:val="374151"/>
                <w:sz w:val="22"/>
              </w:rPr>
              <w:t>Cifragem assimétrica (RSA)</w:t>
            </w:r>
          </w:p>
        </w:tc>
        <w:tc>
          <w:tcPr>
            <w:tcW w:type="dxa" w:w="2351"/>
          </w:tcPr>
          <w:p>
            <w:r/>
            <w:r>
              <w:rPr>
                <w:color w:val="374151"/>
                <w:sz w:val="22"/>
              </w:rPr>
              <w:t>RSA-PKCS#1 v1.5 ou OAEP</w:t>
            </w:r>
          </w:p>
        </w:tc>
        <w:tc>
          <w:tcPr>
            <w:tcW w:type="dxa" w:w="2351"/>
          </w:tcPr>
          <w:p>
            <w:r/>
            <w:r>
              <w:rPr>
                <w:color w:val="374151"/>
                <w:sz w:val="22"/>
              </w:rPr>
              <w:t>2048 bits (recomendado 4096)</w:t>
            </w:r>
          </w:p>
        </w:tc>
        <w:tc>
          <w:tcPr>
            <w:tcW w:type="dxa" w:w="2351"/>
          </w:tcPr>
          <w:p>
            <w:r/>
            <w:r>
              <w:rPr>
                <w:color w:val="374151"/>
                <w:sz w:val="22"/>
              </w:rPr>
              <w:t>2 anos</w:t>
            </w:r>
          </w:p>
        </w:tc>
      </w:tr>
      <w:tr>
        <w:tc>
          <w:tcPr>
            <w:tcW w:type="dxa" w:w="2351"/>
          </w:tcPr>
          <w:p>
            <w:r/>
            <w:r>
              <w:rPr>
                <w:color w:val="374151"/>
                <w:sz w:val="22"/>
              </w:rPr>
              <w:t>Cifragem assimétrica (curvas elíticas)</w:t>
            </w:r>
          </w:p>
        </w:tc>
        <w:tc>
          <w:tcPr>
            <w:tcW w:type="dxa" w:w="2351"/>
          </w:tcPr>
          <w:p>
            <w:r/>
            <w:r>
              <w:rPr>
                <w:color w:val="374151"/>
                <w:sz w:val="22"/>
              </w:rPr>
              <w:t>ECDSA / ECDH</w:t>
            </w:r>
          </w:p>
        </w:tc>
        <w:tc>
          <w:tcPr>
            <w:tcW w:type="dxa" w:w="2351"/>
          </w:tcPr>
          <w:p>
            <w:r/>
            <w:r>
              <w:rPr>
                <w:color w:val="374151"/>
                <w:sz w:val="22"/>
              </w:rPr>
              <w:t>P-256 ou superior</w:t>
            </w:r>
          </w:p>
        </w:tc>
        <w:tc>
          <w:tcPr>
            <w:tcW w:type="dxa" w:w="2351"/>
          </w:tcPr>
          <w:p>
            <w:r/>
            <w:r>
              <w:rPr>
                <w:color w:val="374151"/>
                <w:sz w:val="22"/>
              </w:rPr>
              <w:t>2 anos</w:t>
            </w:r>
          </w:p>
        </w:tc>
      </w:tr>
      <w:tr>
        <w:tc>
          <w:tcPr>
            <w:tcW w:type="dxa" w:w="2351"/>
          </w:tcPr>
          <w:p>
            <w:r/>
            <w:r>
              <w:rPr>
                <w:color w:val="374151"/>
                <w:sz w:val="22"/>
              </w:rPr>
              <w:t>Certificados TLS/SSL</w:t>
            </w:r>
          </w:p>
        </w:tc>
        <w:tc>
          <w:tcPr>
            <w:tcW w:type="dxa" w:w="2351"/>
          </w:tcPr>
          <w:p>
            <w:r/>
            <w:r>
              <w:rPr>
                <w:color w:val="374151"/>
                <w:sz w:val="22"/>
              </w:rPr>
              <w:t>RSA-2048 ou ECC P-256</w:t>
            </w:r>
          </w:p>
        </w:tc>
        <w:tc>
          <w:tcPr>
            <w:tcW w:type="dxa" w:w="2351"/>
          </w:tcPr>
          <w:p>
            <w:r/>
            <w:r>
              <w:rPr>
                <w:color w:val="374151"/>
                <w:sz w:val="22"/>
              </w:rPr>
              <w:t>Ver acima</w:t>
            </w:r>
          </w:p>
        </w:tc>
        <w:tc>
          <w:tcPr>
            <w:tcW w:type="dxa" w:w="2351"/>
          </w:tcPr>
          <w:p>
            <w:r/>
            <w:r>
              <w:rPr>
                <w:color w:val="374151"/>
                <w:sz w:val="22"/>
              </w:rPr>
              <w:t>1 ano (máximo CA/Browser Forum)</w:t>
            </w:r>
          </w:p>
        </w:tc>
      </w:tr>
      <w:tr>
        <w:tc>
          <w:tcPr>
            <w:tcW w:type="dxa" w:w="2351"/>
          </w:tcPr>
          <w:p>
            <w:r/>
            <w:r>
              <w:rPr>
                <w:color w:val="374151"/>
                <w:sz w:val="22"/>
              </w:rPr>
              <w:t>Chaves SSH (acesso a servidores)</w:t>
            </w:r>
          </w:p>
        </w:tc>
        <w:tc>
          <w:tcPr>
            <w:tcW w:type="dxa" w:w="2351"/>
          </w:tcPr>
          <w:p>
            <w:r/>
            <w:r>
              <w:rPr>
                <w:color w:val="374151"/>
                <w:sz w:val="22"/>
              </w:rPr>
              <w:t>Ed25519 (preferido) ou RSA</w:t>
            </w:r>
          </w:p>
        </w:tc>
        <w:tc>
          <w:tcPr>
            <w:tcW w:type="dxa" w:w="2351"/>
          </w:tcPr>
          <w:p>
            <w:r/>
            <w:r>
              <w:rPr>
                <w:color w:val="374151"/>
                <w:sz w:val="22"/>
              </w:rPr>
              <w:t>256 bits / 4096 bits</w:t>
            </w:r>
          </w:p>
        </w:tc>
        <w:tc>
          <w:tcPr>
            <w:tcW w:type="dxa" w:w="2351"/>
          </w:tcPr>
          <w:p>
            <w:r/>
            <w:r>
              <w:rPr>
                <w:color w:val="374151"/>
                <w:sz w:val="22"/>
              </w:rPr>
              <w:t>1 ano</w:t>
            </w:r>
          </w:p>
        </w:tc>
      </w:tr>
      <w:tr>
        <w:tc>
          <w:tcPr>
            <w:tcW w:type="dxa" w:w="2351"/>
          </w:tcPr>
          <w:p>
            <w:r/>
            <w:r>
              <w:rPr>
                <w:color w:val="374151"/>
                <w:sz w:val="22"/>
              </w:rPr>
              <w:t>Chaves de assinatura digital</w:t>
            </w:r>
          </w:p>
        </w:tc>
        <w:tc>
          <w:tcPr>
            <w:tcW w:type="dxa" w:w="2351"/>
          </w:tcPr>
          <w:p>
            <w:r/>
            <w:r>
              <w:rPr>
                <w:color w:val="374151"/>
                <w:sz w:val="22"/>
              </w:rPr>
              <w:t>RSA ou ECDSA</w:t>
            </w:r>
          </w:p>
        </w:tc>
        <w:tc>
          <w:tcPr>
            <w:tcW w:type="dxa" w:w="2351"/>
          </w:tcPr>
          <w:p>
            <w:r/>
            <w:r>
              <w:rPr>
                <w:color w:val="374151"/>
                <w:sz w:val="22"/>
              </w:rPr>
              <w:t>RSA-3072 ou P-256</w:t>
            </w:r>
          </w:p>
        </w:tc>
        <w:tc>
          <w:tcPr>
            <w:tcW w:type="dxa" w:w="2351"/>
          </w:tcPr>
          <w:p>
            <w:r/>
            <w:r>
              <w:rPr>
                <w:color w:val="374151"/>
                <w:sz w:val="22"/>
              </w:rPr>
              <w:t>2 anos</w:t>
            </w:r>
          </w:p>
        </w:tc>
      </w:tr>
      <w:tr>
        <w:tc>
          <w:tcPr>
            <w:tcW w:type="dxa" w:w="2351"/>
          </w:tcPr>
          <w:p>
            <w:r/>
            <w:r>
              <w:rPr>
                <w:color w:val="374151"/>
                <w:sz w:val="22"/>
              </w:rPr>
              <w:t>Chaves PGP/GPG (email cifrado)</w:t>
            </w:r>
          </w:p>
        </w:tc>
        <w:tc>
          <w:tcPr>
            <w:tcW w:type="dxa" w:w="2351"/>
          </w:tcPr>
          <w:p>
            <w:r/>
            <w:r>
              <w:rPr>
                <w:color w:val="374151"/>
                <w:sz w:val="22"/>
              </w:rPr>
              <w:t>Ed25519 + Curve25519</w:t>
            </w:r>
          </w:p>
        </w:tc>
        <w:tc>
          <w:tcPr>
            <w:tcW w:type="dxa" w:w="2351"/>
          </w:tcPr>
          <w:p>
            <w:r/>
            <w:r>
              <w:rPr>
                <w:color w:val="374151"/>
                <w:sz w:val="22"/>
              </w:rPr>
              <w:t>256 bits</w:t>
            </w:r>
          </w:p>
        </w:tc>
        <w:tc>
          <w:tcPr>
            <w:tcW w:type="dxa" w:w="2351"/>
          </w:tcPr>
          <w:p>
            <w:r/>
            <w:r>
              <w:rPr>
                <w:color w:val="374151"/>
                <w:sz w:val="22"/>
              </w:rPr>
              <w:t>2 anos</w:t>
            </w:r>
          </w:p>
        </w:tc>
      </w:tr>
      <w:tr>
        <w:tc>
          <w:tcPr>
            <w:tcW w:type="dxa" w:w="2351"/>
          </w:tcPr>
          <w:p>
            <w:r/>
            <w:r>
              <w:rPr>
                <w:color w:val="374151"/>
                <w:sz w:val="22"/>
              </w:rPr>
              <w:t>Chaves de sessão (TLS/VPN)</w:t>
            </w:r>
          </w:p>
        </w:tc>
        <w:tc>
          <w:tcPr>
            <w:tcW w:type="dxa" w:w="2351"/>
          </w:tcPr>
          <w:p>
            <w:r/>
            <w:r>
              <w:rPr>
                <w:color w:val="374151"/>
                <w:sz w:val="22"/>
              </w:rPr>
              <w:t>AES-GCM ou ChaCha20</w:t>
            </w:r>
          </w:p>
        </w:tc>
        <w:tc>
          <w:tcPr>
            <w:tcW w:type="dxa" w:w="2351"/>
          </w:tcPr>
          <w:p>
            <w:r/>
            <w:r>
              <w:rPr>
                <w:color w:val="374151"/>
                <w:sz w:val="22"/>
              </w:rPr>
              <w:t>128 bits (mínimo)</w:t>
            </w:r>
          </w:p>
        </w:tc>
        <w:tc>
          <w:tcPr>
            <w:tcW w:type="dxa" w:w="2351"/>
          </w:tcPr>
          <w:p>
            <w:r/>
            <w:r>
              <w:rPr>
                <w:color w:val="374151"/>
                <w:sz w:val="22"/>
              </w:rPr>
              <w:t>Duração da sessão</w:t>
            </w:r>
          </w:p>
        </w:tc>
      </w:tr>
    </w:tbl>
    <w:p/>
    <w:p>
      <w:pPr>
        <w:pStyle w:val="Heading1"/>
      </w:pPr>
      <w:r>
        <w:rPr>
          <w:b/>
          <w:color w:val="1E3A8A"/>
          <w:sz w:val="32"/>
        </w:rPr>
        <w:t>4. Ciclo de vida das chaves</w:t>
      </w:r>
    </w:p>
    <w:p>
      <w:r>
        <w:rPr>
          <w:color w:val="374151"/>
          <w:sz w:val="22"/>
        </w:rPr>
        <w:t>Todas as chaves criptográficas geridas pela organização passam pelas seguintes fases do ciclo de vida, que devem ser documentadas para cada chave no registo de materiais criptográficos:</w:t>
      </w:r>
    </w:p>
    <w:p>
      <w:pPr>
        <w:pStyle w:val="ListParagraph"/>
      </w:pPr>
      <w:r>
        <w:rPr>
          <w:color w:val="374151"/>
          <w:sz w:val="22"/>
        </w:rPr>
        <w:t>Geração: criação da chave utilizando fontes de entropia adequadas e algoritmos aprovados. A geração deve ser realizada em ambiente seguro, utilizando geradores de números aleatórios criptograficamente seguros (CSPRNG). Para chaves de alta criticidade, utilizar Hardware Security Modules (HSMs).</w:t>
      </w:r>
    </w:p>
    <w:p>
      <w:pPr>
        <w:pStyle w:val="ListParagraph"/>
      </w:pPr>
      <w:r>
        <w:rPr>
          <w:color w:val="374151"/>
          <w:sz w:val="22"/>
        </w:rPr>
        <w:t>Distribuição segura: transmissão da chave ou certificado para os sistemas e utilizadores que necessitam de a utilizar, utilizando canais seguros (por exemplo, protocolo de acordo de chaves Diffie-Hellman, envelopes digitais, ou distribuição out-of-band para chaves de alto valor).</w:t>
      </w:r>
    </w:p>
    <w:p>
      <w:pPr>
        <w:pStyle w:val="ListParagraph"/>
      </w:pPr>
      <w:r>
        <w:rPr>
          <w:color w:val="374151"/>
          <w:sz w:val="22"/>
        </w:rPr>
        <w:t>Armazenamento: proteção das chaves em repouso utilizando mecanismos adequados ao nível de criticidade (HSM para chaves críticas, key vaults para chaves de aplicação, armazenamento encriptado para chaves de utilizador). Nunca armazenar chaves em código-fonte ou ficheiros de configuração não protegidos.</w:t>
      </w:r>
    </w:p>
    <w:p>
      <w:pPr>
        <w:pStyle w:val="ListParagraph"/>
      </w:pPr>
      <w:r>
        <w:rPr>
          <w:color w:val="374151"/>
          <w:sz w:val="22"/>
        </w:rPr>
        <w:t>Utilização: utilização da chave de acordo com as políticas de criptografia aprovadas, com controlo de acesso estrito baseado no princípio do menor privilégio.</w:t>
      </w:r>
    </w:p>
    <w:p>
      <w:pPr>
        <w:pStyle w:val="ListParagraph"/>
      </w:pPr>
      <w:r>
        <w:rPr>
          <w:color w:val="374151"/>
          <w:sz w:val="22"/>
        </w:rPr>
        <w:t>Rotação: substituição periódica da chave por uma nova, antes da data de expiração. O processo de rotação deve garantir a continuidade operacional e a capacidade de desencriptar dados cifrados com a chave anterior.</w:t>
      </w:r>
    </w:p>
    <w:p>
      <w:pPr>
        <w:pStyle w:val="ListParagraph"/>
      </w:pPr>
      <w:r>
        <w:rPr>
          <w:color w:val="374151"/>
          <w:sz w:val="22"/>
        </w:rPr>
        <w:t>Revogação: invalidação imediata de uma chave comprometida ou de um certificado revogado, utilizando os mecanismos apropriados (CRL, OCSP, revogação em key vault).</w:t>
      </w:r>
    </w:p>
    <w:p>
      <w:pPr>
        <w:pStyle w:val="ListParagraph"/>
      </w:pPr>
      <w:r>
        <w:rPr>
          <w:color w:val="374151"/>
          <w:sz w:val="22"/>
        </w:rPr>
        <w:t>Destruição: eliminação segura da chave e de todas as cópias, garantindo que não pode ser recuperada. A destruição deve ser documentada com evidências.</w:t>
      </w:r>
    </w:p>
    <w:p>
      <w:pPr>
        <w:pStyle w:val="Heading1"/>
      </w:pPr>
      <w:r>
        <w:rPr>
          <w:b/>
          <w:color w:val="1E3A8A"/>
          <w:sz w:val="32"/>
        </w:rPr>
        <w:t>5. Geração de chaves</w:t>
      </w:r>
    </w:p>
    <w:p>
      <w:r>
        <w:rPr>
          <w:color w:val="374151"/>
          <w:sz w:val="22"/>
        </w:rPr>
        <w:t>A geração de chaves criptográficas deve cumprir os seguintes requisitos para garantir a robustez criptográfica:</w:t>
      </w:r>
    </w:p>
    <w:p>
      <w:pPr>
        <w:pStyle w:val="ListParagraph"/>
      </w:pPr>
      <w:r>
        <w:rPr>
          <w:color w:val="374151"/>
          <w:sz w:val="22"/>
        </w:rPr>
        <w:t>Fontes de entropia: utilizar exclusivamente geradores de números aleatórios criptograficamente seguros (CSPRNG). Em sistemas Linux, utilizar /dev/urandom ou a chamada de sistema getrandom(). Em Windows, utilizar BCryptGenRandom. Não utilizar funções rand() ou similar de linguagens de programação de uso geral.</w:t>
      </w:r>
    </w:p>
    <w:p>
      <w:pPr>
        <w:pStyle w:val="ListParagraph"/>
      </w:pPr>
      <w:r>
        <w:rPr>
          <w:color w:val="374151"/>
          <w:sz w:val="22"/>
        </w:rPr>
        <w:t>Hardware Security Modules (HSM): para chaves de elevada criticidade (chaves raiz de PKI, chaves de assinatura de código, chaves mestras de cifragem), a geração deve ser realizada em HSMs certificados (FIPS 140-2 Nível 3 ou superior).</w:t>
      </w:r>
    </w:p>
    <w:p>
      <w:pPr>
        <w:pStyle w:val="ListParagraph"/>
      </w:pPr>
      <w:r>
        <w:rPr>
          <w:color w:val="374151"/>
          <w:sz w:val="22"/>
        </w:rPr>
        <w:t>Algoritmos aprovados: utilizar exclusivamente os algoritmos listados na secção 3 (Tipos de chaves abrangidos). Algoritmos obsoletos (DES, 3DES, RC4, MD5, SHA-1) são proibidos para novos usos.</w:t>
      </w:r>
    </w:p>
    <w:p>
      <w:pPr>
        <w:pStyle w:val="ListParagraph"/>
      </w:pPr>
      <w:r>
        <w:rPr>
          <w:color w:val="374151"/>
          <w:sz w:val="22"/>
        </w:rPr>
        <w:t>Procedimento de cerimónia de chaves: para chaves raiz de PKI ou outras chaves de extrema criticidade, realizar uma cerimónia formal com múltiplas testemunhas, registada em ata, para garantir auditabilidade e integridade do processo de geração.</w:t>
      </w:r>
    </w:p>
    <w:p>
      <w:pPr>
        <w:pStyle w:val="Heading1"/>
      </w:pPr>
      <w:r>
        <w:rPr>
          <w:b/>
          <w:color w:val="1E3A8A"/>
          <w:sz w:val="32"/>
        </w:rPr>
        <w:t>6. Armazenamento seguro</w:t>
      </w:r>
    </w:p>
    <w:p>
      <w:r>
        <w:rPr>
          <w:color w:val="374151"/>
          <w:sz w:val="22"/>
        </w:rPr>
        <w:t>O armazenamento de chaves criptográficas é classificado por nível de criticidade, com requisitos proporcionalmente mais exigentes para chaves de maior valor:</w:t>
      </w:r>
    </w:p>
    <w:p>
      <w:pPr>
        <w:pStyle w:val="ListParagraph"/>
      </w:pPr>
      <w:r>
        <w:rPr>
          <w:color w:val="374151"/>
          <w:sz w:val="22"/>
        </w:rPr>
        <w:t>HSM (Hardware Security Module): obrigatório para chaves raiz de PKI, chaves de assinatura de código, chaves mestras de cifragem e outras chaves de criticidade máxima. Os HSMs devem ser certificados FIPS 140-2 Nível 2 ou superior.</w:t>
      </w:r>
    </w:p>
    <w:p>
      <w:pPr>
        <w:pStyle w:val="ListParagraph"/>
      </w:pPr>
      <w:r>
        <w:rPr>
          <w:color w:val="374151"/>
          <w:sz w:val="22"/>
        </w:rPr>
        <w:t>Key Vaults em cloud: para chaves de aplicação e serviços em cloud, utilizar serviços de gestão de chaves geridos pelo fornecedor cloud (Azure Key Vault, AWS Key Management Service, Google Cloud KMS, HashiCorp Vault). Configurar com acesso baseado em identidade e logging completo.</w:t>
      </w:r>
    </w:p>
    <w:p>
      <w:pPr>
        <w:pStyle w:val="ListParagraph"/>
      </w:pPr>
      <w:r>
        <w:rPr>
          <w:color w:val="374151"/>
          <w:sz w:val="22"/>
        </w:rPr>
        <w:t>Armazenamento encriptado (software): para chaves de menor criticidade, utilizar keystores protegidos por palavra-passe forte (Java KeyStore, PKCS#12). A palavra-passe do keystore deve ser gerida separadamente da chave.</w:t>
      </w:r>
    </w:p>
    <w:p>
      <w:pPr>
        <w:pStyle w:val="ListParagraph"/>
      </w:pPr>
      <w:r>
        <w:rPr>
          <w:color w:val="374151"/>
          <w:sz w:val="22"/>
        </w:rPr>
        <w:t>Proibições absolutas: é estritamente proibido armazenar chaves privadas ou secretas em: código-fonte (mesmo em repositórios privados), ficheiros de configuração não protegidos, variáveis de ambiente não encriptadas, documentos de texto simples, emails, chats ou qualquer outro meio não protegido.</w:t>
      </w:r>
    </w:p>
    <w:p>
      <w:pPr>
        <w:pStyle w:val="Heading1"/>
      </w:pPr>
      <w:r>
        <w:rPr>
          <w:b/>
          <w:color w:val="1E3A8A"/>
          <w:sz w:val="32"/>
        </w:rPr>
        <w:t>7. Rotação e expiração</w:t>
      </w:r>
    </w:p>
    <w:p>
      <w:r>
        <w:rPr>
          <w:color w:val="374151"/>
          <w:sz w:val="22"/>
        </w:rPr>
        <w:t>A rotação periódica de chaves limita o impacto de uma eventual compromisso e é um requisito essencial de uma gestão de chaves eficaz. Os processos de rotação devem ser automatizados sempre que tecnicamente possível, para reduzir o risco de erro humano e de atrasos:</w:t>
      </w:r>
    </w:p>
    <w:p>
      <w:pPr>
        <w:pStyle w:val="ListParagraph"/>
      </w:pPr>
      <w:r>
        <w:rPr>
          <w:color w:val="374151"/>
          <w:sz w:val="22"/>
        </w:rPr>
        <w:t>Rotação automática: implementar rotação automática de chaves sempre que a plataforma o suporte (Azure Key Vault auto-rotation, AWS KMS automatic key rotation, renovação automática de certificados via ACME/Let's Encrypt).</w:t>
      </w:r>
    </w:p>
    <w:p>
      <w:pPr>
        <w:pStyle w:val="ListParagraph"/>
      </w:pPr>
      <w:r>
        <w:rPr>
          <w:color w:val="374151"/>
          <w:sz w:val="22"/>
        </w:rPr>
        <w:t>Notificação de expiração: configurar alertas automáticos 90, 60 e 30 dias antes da expiração de certificados e chaves. O responsável de segurança e o responsável de sistemas devem receber estas notificações.</w:t>
      </w:r>
    </w:p>
    <w:p>
      <w:pPr>
        <w:pStyle w:val="ListParagraph"/>
      </w:pPr>
      <w:r>
        <w:rPr>
          <w:color w:val="374151"/>
          <w:sz w:val="22"/>
        </w:rPr>
        <w:t>Reencriptação de dados: quando uma chave de cifragem de dados em repouso é rodada, os dados encriptados com a chave anterior devem ser reencriptados com a nova chave no prazo máximo de 30 dias.</w:t>
      </w:r>
    </w:p>
    <w:p>
      <w:pPr>
        <w:pStyle w:val="Heading1"/>
      </w:pPr>
      <w:r>
        <w:rPr>
          <w:b/>
          <w:color w:val="1E3A8A"/>
          <w:sz w:val="32"/>
        </w:rPr>
        <w:t>8. Revogação e destruição</w:t>
      </w:r>
    </w:p>
    <w:p>
      <w:r>
        <w:rPr>
          <w:color w:val="374151"/>
          <w:sz w:val="22"/>
        </w:rPr>
        <w:t>A revogação imediata de chaves comprometidas e a destruição segura de chaves obsoletas são tão importantes como a geração e o armazenamento seguros. Qualquer suspeita de compromisso deve desencadear imediatamente o processo de revogação:</w:t>
      </w:r>
    </w:p>
    <w:p>
      <w:pPr>
        <w:pStyle w:val="ListParagraph"/>
      </w:pPr>
      <w:r>
        <w:rPr>
          <w:color w:val="374151"/>
          <w:sz w:val="22"/>
        </w:rPr>
        <w:t>Motivos de revogação imediata: suspeita ou confirmação de compromisso da chave privada, saída do colaborador detentor da chave, incidente de segurança nos sistemas onde a chave estava armazenada, ou deteção de utilização não autorizada da chave.</w:t>
      </w:r>
    </w:p>
    <w:p>
      <w:pPr>
        <w:pStyle w:val="ListParagraph"/>
      </w:pPr>
      <w:r>
        <w:rPr>
          <w:color w:val="374151"/>
          <w:sz w:val="22"/>
        </w:rPr>
        <w:t>Mecanismos de revogação: para certificados TLS/SSL, publicar na Certificate Revocation List (CRL) do emissor e no serviço OCSP (Online Certificate Status Protocol). Para chaves em key vaults, desativar imediatamente a chave na plataforma. Para chaves SSH, remover do ficheiro authorized_keys em todos os sistemas.</w:t>
      </w:r>
    </w:p>
    <w:p>
      <w:pPr>
        <w:pStyle w:val="ListParagraph"/>
      </w:pPr>
      <w:r>
        <w:rPr>
          <w:color w:val="374151"/>
          <w:sz w:val="22"/>
        </w:rPr>
        <w:t>Destruição segura: a destruição de chaves deve garantir que não existe qualquer forma de recuperar o material criptográfico. Para chaves em HSM, utilizar o processo de zeroization certificado. Para chaves em software, sobrescrever o material com zeros antes de eliminar. Documentar com evidências da destruição, incluindo data, sistema e método.</w:t>
      </w:r>
    </w:p>
    <w:p>
      <w:pPr>
        <w:pStyle w:val="Heading1"/>
      </w:pPr>
      <w:r>
        <w:rPr>
          <w:b/>
          <w:color w:val="1E3A8A"/>
          <w:sz w:val="32"/>
        </w:rPr>
        <w:t>9. Responsabilidades e acessos</w:t>
      </w:r>
    </w:p>
    <w:p>
      <w:r>
        <w:rPr>
          <w:color w:val="374151"/>
          <w:sz w:val="22"/>
        </w:rPr>
        <w:t>O acesso a materiais criptográficos é estritamente controlado com base no princípio do menor privilégio. Nenhum indivíduo deve ter acesso unilateral a chaves de alta criticidade (princípio de separação de funções ou "dois utilizadores"):</w:t>
      </w:r>
    </w:p>
    <w:p>
      <w:pPr>
        <w:pStyle w:val="ListParagraph"/>
      </w:pPr>
      <w:r>
        <w:rPr>
          <w:color w:val="374151"/>
          <w:sz w:val="22"/>
        </w:rPr>
        <w:t>CISO: responsável pela política geral de gestão de chaves, aprovação de alterações ao procedimento, supervisão do inventário de materiais criptográficos e aprovação de exceções.</w:t>
      </w:r>
    </w:p>
    <w:p>
      <w:pPr>
        <w:pStyle w:val="ListParagraph"/>
      </w:pPr>
      <w:r>
        <w:rPr>
          <w:color w:val="374151"/>
          <w:sz w:val="22"/>
        </w:rPr>
        <w:t>Administrador de PKI / Key Custodian: responsável pela geração, distribuição e destruição de chaves de alta criticidade, operação dos HSMs, manutenção do inventário de materiais criptográficos e coordenação de cerimónias de chaves.</w:t>
      </w:r>
    </w:p>
    <w:p>
      <w:pPr>
        <w:pStyle w:val="ListParagraph"/>
      </w:pPr>
      <w:r>
        <w:rPr>
          <w:color w:val="374151"/>
          <w:sz w:val="22"/>
        </w:rPr>
        <w:t>Administradores de sistemas e aplicações: responsáveis pela rotação de chaves nos sistemas e aplicações sob sua gestão, monitorização de expirações e implementação de políticas de armazenamento seguro nas aplicações.</w:t>
      </w:r>
    </w:p>
    <w:p>
      <w:pPr>
        <w:pStyle w:val="ListParagraph"/>
      </w:pPr>
      <w:r>
        <w:rPr>
          <w:color w:val="374151"/>
          <w:sz w:val="22"/>
        </w:rPr>
        <w:t>Regra dos dois utilizadores (dual control): para operações de alto impacto em chaves críticas (geração, destruição, exportação), são necessários dois administradores autorizados a atuar em simultâneo, para evitar a compromisso por parte de um único indivíduo.</w:t>
      </w:r>
    </w:p>
    <w:p>
      <w:pPr>
        <w:pStyle w:val="Heading1"/>
      </w:pPr>
      <w:r>
        <w:rPr>
          <w:b/>
          <w:color w:val="1E3A8A"/>
          <w:sz w:val="32"/>
        </w:rPr>
        <w:t>10. Auditoria e registo</w:t>
      </w:r>
    </w:p>
    <w:p>
      <w:r>
        <w:rPr>
          <w:color w:val="374151"/>
          <w:sz w:val="22"/>
        </w:rPr>
        <w:t>Todas as operações realizadas sobre materiais criptográficos são registadas em logs de auditoria imutáveis, que permitem reconstituir o histórico completo de cada chave e detetar utilizações não autorizadas:</w:t>
      </w:r>
    </w:p>
    <w:p>
      <w:pPr>
        <w:pStyle w:val="ListParagraph"/>
      </w:pPr>
      <w:r>
        <w:rPr>
          <w:color w:val="374151"/>
          <w:sz w:val="22"/>
        </w:rPr>
        <w:t>Eventos a registar: geração de chave (quem, quando, sistema destino), distribuição (quem recebeu, canal utilizado), acesso/utilização (quem acedeu, quando, propósito), rotação (quem realizou, quando, sistemas afetados), revogação e destruição (quem autorizou, quem executou, evidências).</w:t>
      </w:r>
    </w:p>
    <w:p>
      <w:pPr>
        <w:pStyle w:val="ListParagraph"/>
      </w:pPr>
      <w:r>
        <w:rPr>
          <w:color w:val="374151"/>
          <w:sz w:val="22"/>
        </w:rPr>
        <w:t>Proteção dos logs: os logs de auditoria de materiais criptográficos devem ser armazenados em sistema separado e protegido contra alteração não autorizada. A integridade dos logs deve ser verificada periodicamente.</w:t>
      </w:r>
    </w:p>
    <w:p>
      <w:pPr>
        <w:pStyle w:val="ListParagraph"/>
      </w:pPr>
      <w:r>
        <w:rPr>
          <w:color w:val="374151"/>
          <w:sz w:val="22"/>
        </w:rPr>
        <w:t>Revisão periódica: o CISO ou o administrador de PKI revê os logs de auditoria mensalmente para identificar utilizações anómalas, acessos não autorizados ou operações fora dos processos definidos.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 (Chief Information Security Officer)</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Administrador de PKI / Key Custodian</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 / Administração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