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pPr>
    </w:p>
    <w:p>
      <w:pPr>
        <w:spacing w:after="600"/>
        <w:jc w:val="center"/>
      </w:pPr>
      <w:r>
        <w:rPr>
          <w:i/>
          <w:iCs/>
          <w:color w:val="9ca3af"/>
          <w:sz w:val="22"/>
          <w:szCs w:val="22"/>
          <w:rFonts w:ascii="Calibri" w:cs="Calibri" w:eastAsia="Calibri" w:hAnsi="Calibri"/>
        </w:rPr>
        <w:t xml:space="preserve">[Nome da organização]</w:t>
      </w:r>
    </w:p>
    <w:p>
      <w:pPr>
        <w:spacing w:after="300"/>
        <w:jc w:val="center"/>
      </w:pPr>
      <w:r>
        <w:rPr>
          <w:b/>
          <w:bCs/>
          <w:color w:val="1e3a8a"/>
          <w:sz w:val="28"/>
          <w:szCs w:val="28"/>
          <w:rFonts w:ascii="Calibri" w:cs="Calibri" w:eastAsia="Calibri" w:hAnsi="Calibri"/>
        </w:rPr>
        <w:t xml:space="preserve">Programa de formação e sensibilização em cibersegurança</w:t>
      </w:r>
    </w:p>
    <w:p>
      <w:pPr>
        <w:spacing w:after="1200"/>
        <w:jc w:val="center"/>
      </w:pPr>
      <w:r>
        <w:rPr>
          <w:color w:val="374151"/>
          <w:sz w:val="22"/>
          <w:szCs w:val="22"/>
          <w:rFonts w:ascii="Calibri" w:cs="Calibri" w:eastAsia="Calibri" w:hAnsi="Calibri"/>
        </w:rPr>
        <w:t xml:space="preserve">Conformidade com o Decreto-Lei n.º 125/2025 (NIS2)</w:t>
      </w:r>
    </w:p>
    <w:p>
      <w:pPr>
        <w:spacing w:after="160"/>
        <w:jc w:val="center"/>
      </w:pPr>
      <w:r>
        <w:rPr>
          <w:b/>
          <w:bCs/>
          <w:color w:val="374151"/>
          <w:sz w:val="22"/>
          <w:szCs w:val="22"/>
          <w:rFonts w:ascii="Calibri" w:cs="Calibri" w:eastAsia="Calibri" w:hAnsi="Calibri"/>
        </w:rPr>
        <w:t xml:space="preserve">Versão: </w:t>
      </w:r>
      <w:r>
        <w:rPr>
          <w:color w:val="374151"/>
          <w:sz w:val="22"/>
          <w:szCs w:val="22"/>
          <w:rFonts w:ascii="Calibri" w:cs="Calibri" w:eastAsia="Calibri" w:hAnsi="Calibri"/>
        </w:rPr>
        <w:t xml:space="preserve">1.0</w:t>
      </w:r>
    </w:p>
    <w:p>
      <w:pPr>
        <w:spacing w:after="160"/>
        <w:jc w:val="center"/>
      </w:pPr>
      <w:r>
        <w:rPr>
          <w:b/>
          <w:bCs/>
          <w:color w:val="374151"/>
          <w:sz w:val="22"/>
          <w:szCs w:val="22"/>
          <w:rFonts w:ascii="Calibri" w:cs="Calibri" w:eastAsia="Calibri" w:hAnsi="Calibri"/>
        </w:rPr>
        <w:t xml:space="preserve">Data: </w:t>
      </w:r>
      <w:r>
        <w:rPr>
          <w:color w:val="374151"/>
          <w:sz w:val="22"/>
          <w:szCs w:val="22"/>
          <w:rFonts w:ascii="Calibri" w:cs="Calibri" w:eastAsia="Calibri" w:hAnsi="Calibri"/>
        </w:rPr>
        <w:t xml:space="preserve">18/03/2026</w:t>
      </w:r>
    </w:p>
    <w:p>
      <w:pPr>
        <w:spacing w:after="400"/>
        <w:jc w:val="center"/>
      </w:pPr>
      <w:r>
        <w:rPr>
          <w:b/>
          <w:bCs/>
          <w:color w:val="374151"/>
          <w:sz w:val="22"/>
          <w:szCs w:val="22"/>
          <w:rFonts w:ascii="Calibri" w:cs="Calibri" w:eastAsia="Calibri" w:hAnsi="Calibri"/>
        </w:rPr>
        <w:t xml:space="preserve">Classificação: </w:t>
      </w:r>
      <w:r>
        <w:rPr>
          <w:b/>
          <w:bCs/>
          <w:color w:val="dc2626"/>
          <w:sz w:val="22"/>
          <w:szCs w:val="22"/>
          <w:rFonts w:ascii="Calibri" w:cs="Calibri" w:eastAsia="Calibri" w:hAnsi="Calibri"/>
        </w:rPr>
        <w:t xml:space="preserve">Confidencial</w:t>
      </w:r>
    </w:p>
    <w:p>
      <w:r>
        <w:br w:type="page"/>
      </w:r>
    </w:p>
    <w:p>
      <w:pPr>
        <w:pStyle w:val="Heading2"/>
        <w:spacing w:before="320" w:after="160"/>
      </w:pPr>
      <w:r>
        <w:rPr>
          <w:b/>
          <w:bCs/>
          <w:color w:val="1e3a8a"/>
          <w:sz w:val="28"/>
          <w:szCs w:val="28"/>
          <w:rFonts w:ascii="Calibri" w:cs="Calibri" w:eastAsia="Calibri" w:hAnsi="Calibri"/>
        </w:rPr>
        <w:t xml:space="preserve">Controlo de versões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shd w:color="1e3a8a" w:val="solid"/>
            <w:vAlign w:val="center"/>
          </w:tcPr>
          <w:p>
            <w:r>
              <w:rPr>
                <w:b/>
                <w:bCs/>
                <w:color w:val="ffffff"/>
                <w:sz w:val="22"/>
                <w:szCs w:val="22"/>
                <w:rFonts w:ascii="Calibri" w:cs="Calibri" w:eastAsia="Calibri" w:hAnsi="Calibri"/>
              </w:rPr>
              <w:t xml:space="preserve">Versão</w:t>
            </w:r>
          </w:p>
        </w:tc>
        <w:tc>
          <w:tcPr>
            <w:shd w:color="1e3a8a" w:val="solid"/>
            <w:vAlign w:val="center"/>
          </w:tcPr>
          <w:p>
            <w:r>
              <w:rPr>
                <w:b/>
                <w:bCs/>
                <w:color w:val="ffffff"/>
                <w:sz w:val="22"/>
                <w:szCs w:val="22"/>
                <w:rFonts w:ascii="Calibri" w:cs="Calibri" w:eastAsia="Calibri" w:hAnsi="Calibri"/>
              </w:rPr>
              <w:t xml:space="preserve">Data</w:t>
            </w:r>
          </w:p>
        </w:tc>
        <w:tc>
          <w:tcPr>
            <w:shd w:color="1e3a8a" w:val="solid"/>
            <w:vAlign w:val="center"/>
          </w:tcPr>
          <w:p>
            <w:r>
              <w:rPr>
                <w:b/>
                <w:bCs/>
                <w:color w:val="ffffff"/>
                <w:sz w:val="22"/>
                <w:szCs w:val="22"/>
                <w:rFonts w:ascii="Calibri" w:cs="Calibri" w:eastAsia="Calibri" w:hAnsi="Calibri"/>
              </w:rPr>
              <w:t xml:space="preserve">Autor</w:t>
            </w:r>
          </w:p>
        </w:tc>
        <w:tc>
          <w:tcPr>
            <w:shd w:color="1e3a8a" w:val="solid"/>
            <w:vAlign w:val="center"/>
          </w:tcPr>
          <w:p>
            <w:r>
              <w:rPr>
                <w:b/>
                <w:bCs/>
                <w:color w:val="ffffff"/>
                <w:sz w:val="22"/>
                <w:szCs w:val="22"/>
                <w:rFonts w:ascii="Calibri" w:cs="Calibri" w:eastAsia="Calibri" w:hAnsi="Calibri"/>
              </w:rPr>
              <w:t xml:space="preserve">Alterações</w:t>
            </w:r>
          </w:p>
        </w:tc>
        <w:tc>
          <w:tcPr>
            <w:shd w:color="1e3a8a" w:val="solid"/>
            <w:vAlign w:val="center"/>
          </w:tcPr>
          <w:p>
            <w:r>
              <w:rPr>
                <w:b/>
                <w:bCs/>
                <w:color w:val="ffffff"/>
                <w:sz w:val="22"/>
                <w:szCs w:val="22"/>
                <w:rFonts w:ascii="Calibri" w:cs="Calibri" w:eastAsia="Calibri" w:hAnsi="Calibri"/>
              </w:rPr>
              <w:t xml:space="preserve">Aprovado por</w:t>
            </w:r>
          </w:p>
        </w:tc>
      </w:tr>
      <w:tr>
        <w:tc>
          <w:p>
            <w:r>
              <w:rPr>
                <w:color w:val="374151"/>
                <w:sz w:val="22"/>
                <w:szCs w:val="22"/>
                <w:rFonts w:ascii="Calibri" w:cs="Calibri" w:eastAsia="Calibri" w:hAnsi="Calibri"/>
              </w:rPr>
              <w:t xml:space="preserve">1.0</w:t>
            </w:r>
          </w:p>
        </w:tc>
        <w:tc>
          <w:p>
            <w:r>
              <w:rPr>
                <w:color w:val="374151"/>
                <w:sz w:val="22"/>
                <w:szCs w:val="22"/>
                <w:rFonts w:ascii="Calibri" w:cs="Calibri" w:eastAsia="Calibri" w:hAnsi="Calibri"/>
              </w:rPr>
            </w:r>
          </w:p>
        </w:tc>
        <w:tc>
          <w:p>
            <w:r>
              <w:rPr>
                <w:color w:val="374151"/>
                <w:sz w:val="22"/>
                <w:szCs w:val="22"/>
                <w:rFonts w:ascii="Calibri" w:cs="Calibri" w:eastAsia="Calibri" w:hAnsi="Calibri"/>
              </w:rPr>
              <w:t xml:space="preserve">[Autor]</w:t>
            </w:r>
          </w:p>
        </w:tc>
        <w:tc>
          <w:p>
            <w:r>
              <w:rPr>
                <w:color w:val="374151"/>
                <w:sz w:val="22"/>
                <w:szCs w:val="22"/>
                <w:rFonts w:ascii="Calibri" w:cs="Calibri" w:eastAsia="Calibri" w:hAnsi="Calibri"/>
              </w:rPr>
              <w:t xml:space="preserve">Versão inicial</w:t>
            </w:r>
          </w:p>
        </w:tc>
        <w:tc>
          <w:p>
            <w:r>
              <w:rPr>
                <w:color w:val="374151"/>
                <w:sz w:val="22"/>
                <w:szCs w:val="22"/>
                <w:rFonts w:ascii="Calibri" w:cs="Calibri" w:eastAsia="Calibri" w:hAnsi="Calibri"/>
              </w:rPr>
              <w:t xml:space="preserve">[Aprovador]</w:t>
            </w:r>
          </w:p>
        </w:tc>
      </w:tr>
    </w:tbl>
    <w:p>
      <w:r>
        <w:br w:type="page"/>
      </w:r>
    </w:p>
    <w:p>
      <w:pPr>
        <w:pStyle w:val="Heading2"/>
        <w:spacing w:before="320" w:after="160"/>
      </w:pPr>
      <w:r>
        <w:rPr>
          <w:b/>
          <w:bCs/>
          <w:color w:val="1e3a8a"/>
          <w:sz w:val="28"/>
          <w:szCs w:val="28"/>
          <w:rFonts w:ascii="Calibri" w:cs="Calibri" w:eastAsia="Calibri" w:hAnsi="Calibri"/>
        </w:rPr>
        <w:t xml:space="preserve">Índice</w:t>
      </w:r>
    </w:p>
    <w:sdt>
      <w:sdtPr>
        <w:alias w:val="Índice"/>
      </w:sdtPr>
      <w:sdtContent>
        <w:p>
          <w:r>
            <w:fldChar w:fldCharType="begin" w:dirty="true"/>
            <w:instrText xml:space="preserve">TOC \h \o "1-3" \t "undefined,1,undefined,2,undefined,3"</w:instrText>
            <w:fldChar w:fldCharType="separate"/>
          </w:r>
        </w:p>
        <w:p>
          <w:r>
            <w:fldChar w:fldCharType="end"/>
          </w:r>
        </w:p>
      </w:sdtContent>
    </w:sdt>
    <w:p>
      <w:r>
        <w:br w:type="page"/>
      </w:r>
    </w:p>
    <w:p>
      <w:pPr>
        <w:pStyle w:val="Heading1"/>
        <w:spacing w:before="400" w:after="200"/>
      </w:pPr>
      <w:r>
        <w:rPr>
          <w:b/>
          <w:bCs/>
          <w:color w:val="1e3a8a"/>
          <w:sz w:val="32"/>
          <w:szCs w:val="32"/>
          <w:rFonts w:ascii="Calibri" w:cs="Calibri" w:eastAsia="Calibri" w:hAnsi="Calibri"/>
        </w:rPr>
        <w:t xml:space="preserve">1. Objetivo</w:t>
      </w:r>
    </w:p>
    <w:p>
      <w:pPr>
        <w:spacing w:after="160"/>
      </w:pPr>
      <w:r>
        <w:rPr>
          <w:color w:val="374151"/>
          <w:sz w:val="22"/>
          <w:szCs w:val="22"/>
          <w:rFonts w:ascii="Calibri" w:cs="Calibri" w:eastAsia="Calibri" w:hAnsi="Calibri"/>
        </w:rPr>
        <w:t xml:space="preserve">O presente programa define as atividades de formação e sensibilização em cibersegurança a realizar por [Nome da organização] ao longo de cada exercício anual, em cumprimento do Decreto-Lei n.º 125/2025 que transpõe a Diretiva (UE) 2022/2555 (NIS2) para o ordenamento jurídico português.</w:t>
      </w:r>
    </w:p>
    <w:p>
      <w:pPr>
        <w:spacing w:after="160"/>
      </w:pPr>
      <w:r>
        <w:rPr>
          <w:color w:val="374151"/>
          <w:sz w:val="22"/>
          <w:szCs w:val="22"/>
          <w:rFonts w:ascii="Calibri" w:cs="Calibri" w:eastAsia="Calibri" w:hAnsi="Calibri"/>
        </w:rPr>
        <w:t xml:space="preserve">Os objetivos específicos deste programa são: garantir que todos os colaboradores, incluindo os membros dos órgãos de gestão, dispõem dos conhecimentos necessários para identificar ameaças de cibersegurança e agir de forma adequada; promover uma cultura organizacional de cibersegurança; e reduzir o risco associado a fatores humanos, que constituem um dos principais vetores de ataque.</w:t>
      </w:r>
    </w:p>
    <w:p>
      <w:pPr>
        <w:spacing w:after="160"/>
      </w:pPr>
      <w:r>
        <w:rPr>
          <w:color w:val="374151"/>
          <w:sz w:val="22"/>
          <w:szCs w:val="22"/>
          <w:rFonts w:ascii="Calibri" w:cs="Calibri" w:eastAsia="Calibri" w:hAnsi="Calibri"/>
        </w:rPr>
        <w:t xml:space="preserve">O programa é revisto anualmente pelo responsável de cibersegurança, com base nos resultados das avaliações de eficácia, nas lições aprendidas com incidentes e exercícios, e nas alterações do panorama de ameaças e do quadro legal aplicável.</w:t>
      </w:r>
    </w:p>
    <w:p>
      <w:pPr>
        <w:shd w:color="dbeafe" w:val="solid"/>
        <w:spacing w:before="160" w:after="160"/>
        <w:ind w:left="360" w:right="360"/>
      </w:pPr>
      <w:r>
        <w:rPr>
          <w:i/>
          <w:iCs/>
          <w:color w:val="1e3a8a"/>
          <w:sz w:val="22"/>
          <w:szCs w:val="22"/>
          <w:rFonts w:ascii="Calibri" w:cs="Calibri" w:eastAsia="Calibri" w:hAnsi="Calibri"/>
        </w:rPr>
        <w:t xml:space="preserve">Art. 25.º n.º 1 alínea d) do DL 125/2025 — os membros dos órgãos de direção, administração ou gestão devem frequentar formação sobre cibersegurança e encorajar os colaboradores a fazê-lo regularmente.</w:t>
      </w:r>
    </w:p>
    <w:p>
      <w:pPr>
        <w:pStyle w:val="Heading1"/>
        <w:spacing w:before="400" w:after="200"/>
      </w:pPr>
      <w:r>
        <w:rPr>
          <w:b/>
          <w:bCs/>
          <w:color w:val="1e3a8a"/>
          <w:sz w:val="32"/>
          <w:szCs w:val="32"/>
          <w:rFonts w:ascii="Calibri" w:cs="Calibri" w:eastAsia="Calibri" w:hAnsi="Calibri"/>
        </w:rPr>
        <w:t xml:space="preserve">2. Âmbito</w:t>
      </w:r>
    </w:p>
    <w:p>
      <w:pPr>
        <w:spacing w:after="160"/>
      </w:pPr>
      <w:r>
        <w:rPr>
          <w:color w:val="374151"/>
          <w:sz w:val="22"/>
          <w:szCs w:val="22"/>
          <w:rFonts w:ascii="Calibri" w:cs="Calibri" w:eastAsia="Calibri" w:hAnsi="Calibri"/>
        </w:rPr>
        <w:t xml:space="preserve">Este programa aplica-se a:</w:t>
      </w:r>
    </w:p>
    <w:p>
      <w:pPr>
        <w:pStyle w:val="ListParagraph"/>
        <w:numPr>
          <w:ilvl w:val="0"/>
          <w:numId w:val="1"/>
        </w:numPr>
        <w:spacing w:after="80"/>
      </w:pPr>
      <w:r>
        <w:rPr>
          <w:color w:val="374151"/>
          <w:sz w:val="22"/>
          <w:szCs w:val="22"/>
          <w:rFonts w:ascii="Calibri" w:cs="Calibri" w:eastAsia="Calibri" w:hAnsi="Calibri"/>
        </w:rPr>
        <w:t xml:space="preserve">Membros dos órgãos de gestão, administração e direção da organização</w:t>
      </w:r>
    </w:p>
    <w:p>
      <w:pPr>
        <w:pStyle w:val="ListParagraph"/>
        <w:numPr>
          <w:ilvl w:val="0"/>
          <w:numId w:val="1"/>
        </w:numPr>
        <w:spacing w:after="80"/>
      </w:pPr>
      <w:r>
        <w:rPr>
          <w:color w:val="374151"/>
          <w:sz w:val="22"/>
          <w:szCs w:val="22"/>
          <w:rFonts w:ascii="Calibri" w:cs="Calibri" w:eastAsia="Calibri" w:hAnsi="Calibri"/>
        </w:rPr>
        <w:t xml:space="preserve">Todos os colaboradores com vínculo permanente, a prazo ou estágio</w:t>
      </w:r>
    </w:p>
    <w:p>
      <w:pPr>
        <w:pStyle w:val="ListParagraph"/>
        <w:numPr>
          <w:ilvl w:val="0"/>
          <w:numId w:val="1"/>
        </w:numPr>
        <w:spacing w:after="80"/>
      </w:pPr>
      <w:r>
        <w:rPr>
          <w:color w:val="374151"/>
          <w:sz w:val="22"/>
          <w:szCs w:val="22"/>
          <w:rFonts w:ascii="Calibri" w:cs="Calibri" w:eastAsia="Calibri" w:hAnsi="Calibri"/>
        </w:rPr>
        <w:t xml:space="preserve">Trabalhadores temporários e consultores com acesso a sistemas de informação da organização</w:t>
      </w:r>
    </w:p>
    <w:p>
      <w:pPr>
        <w:pStyle w:val="ListParagraph"/>
        <w:numPr>
          <w:ilvl w:val="0"/>
          <w:numId w:val="1"/>
        </w:numPr>
        <w:spacing w:after="80"/>
      </w:pPr>
      <w:r>
        <w:rPr>
          <w:color w:val="374151"/>
          <w:sz w:val="22"/>
          <w:szCs w:val="22"/>
          <w:rFonts w:ascii="Calibri" w:cs="Calibri" w:eastAsia="Calibri" w:hAnsi="Calibri"/>
        </w:rPr>
        <w:t xml:space="preserve">Fornecedores e parceiros com acesso regular a sistemas, redes ou dados da organização</w:t>
      </w:r>
    </w:p>
    <w:p>
      <w:pPr>
        <w:pStyle w:val="ListParagraph"/>
        <w:numPr>
          <w:ilvl w:val="0"/>
          <w:numId w:val="1"/>
        </w:numPr>
        <w:spacing w:after="80"/>
      </w:pPr>
      <w:r>
        <w:rPr>
          <w:color w:val="374151"/>
          <w:sz w:val="22"/>
          <w:szCs w:val="22"/>
          <w:rFonts w:ascii="Calibri" w:cs="Calibri" w:eastAsia="Calibri" w:hAnsi="Calibri"/>
        </w:rPr>
        <w:t xml:space="preserve">Equipas de tecnologias de informação e segurança</w:t>
      </w:r>
    </w:p>
    <w:p>
      <w:pPr>
        <w:spacing w:after="160"/>
      </w:pPr>
      <w:r>
        <w:rPr>
          <w:color w:val="374151"/>
          <w:sz w:val="22"/>
          <w:szCs w:val="22"/>
          <w:rFonts w:ascii="Calibri" w:cs="Calibri" w:eastAsia="Calibri" w:hAnsi="Calibri"/>
        </w:rPr>
        <w:t xml:space="preserve">O programa diferencia os conteúdos e a profundidade das formações em função do papel e do nível de acesso de cada grupo, garantindo a proporcionalidade e relevância das ações de formação.</w:t>
      </w:r>
    </w:p>
    <w:p>
      <w:pPr>
        <w:shd w:color="dbeafe" w:val="solid"/>
        <w:spacing w:before="160" w:after="160"/>
        <w:ind w:left="360" w:right="360"/>
      </w:pPr>
      <w:r>
        <w:rPr>
          <w:i/>
          <w:iCs/>
          <w:color w:val="1e3a8a"/>
          <w:sz w:val="22"/>
          <w:szCs w:val="22"/>
          <w:rFonts w:ascii="Calibri" w:cs="Calibri" w:eastAsia="Calibri" w:hAnsi="Calibri"/>
        </w:rPr>
        <w:t xml:space="preserve">Art. 27.º alínea f) do DL 125/2025 — obrigação de implementar práticas de higiene cibernética e formação em cibersegurança.</w:t>
      </w:r>
    </w:p>
    <w:p>
      <w:pPr>
        <w:pStyle w:val="Heading1"/>
        <w:spacing w:before="400" w:after="200"/>
      </w:pPr>
      <w:r>
        <w:rPr>
          <w:b/>
          <w:bCs/>
          <w:color w:val="1e3a8a"/>
          <w:sz w:val="32"/>
          <w:szCs w:val="32"/>
          <w:rFonts w:ascii="Calibri" w:cs="Calibri" w:eastAsia="Calibri" w:hAnsi="Calibri"/>
        </w:rPr>
        <w:t xml:space="preserve">3. Responsabilidade da gestão (Art. 25.º)</w:t>
      </w:r>
    </w:p>
    <w:p>
      <w:pPr>
        <w:spacing w:after="160"/>
      </w:pPr>
      <w:r>
        <w:rPr>
          <w:color w:val="374151"/>
          <w:sz w:val="22"/>
          <w:szCs w:val="22"/>
          <w:rFonts w:ascii="Calibri" w:cs="Calibri" w:eastAsia="Calibri" w:hAnsi="Calibri"/>
        </w:rPr>
        <w:t xml:space="preserve">Nos termos do Art. 25.º do DL 125/2025, os membros dos órgãos de direção, administração ou gestão são pessoalmente responsáveis pelo cumprimento das obrigações de cibersegurança da organização. Esta responsabilidade inclui, de forma explícita, a frequência de formação em cibersegurança e o encorajamento dos colaboradores a fazê-lo.</w:t>
      </w:r>
    </w:p>
    <w:p>
      <w:pPr>
        <w:spacing w:after="160"/>
      </w:pPr>
      <w:r>
        <w:rPr>
          <w:color w:val="374151"/>
          <w:sz w:val="22"/>
          <w:szCs w:val="22"/>
          <w:rFonts w:ascii="Calibri" w:cs="Calibri" w:eastAsia="Calibri" w:hAnsi="Calibri"/>
        </w:rPr>
        <w:t xml:space="preserve">Para dar cumprimento a esta obrigação legal, a organização assegura que:</w:t>
      </w:r>
    </w:p>
    <w:p>
      <w:pPr>
        <w:pStyle w:val="ListParagraph"/>
        <w:numPr>
          <w:ilvl w:val="0"/>
          <w:numId w:val="1"/>
        </w:numPr>
        <w:spacing w:after="80"/>
      </w:pPr>
      <w:r>
        <w:rPr>
          <w:color w:val="374151"/>
          <w:sz w:val="22"/>
          <w:szCs w:val="22"/>
          <w:rFonts w:ascii="Calibri" w:cs="Calibri" w:eastAsia="Calibri" w:hAnsi="Calibri"/>
        </w:rPr>
        <w:t xml:space="preserve">Todos os membros do órgão de gestão frequentam pelo menos uma ação de formação específica por ano sobre cibersegurança e gestão de riscos</w:t>
      </w:r>
    </w:p>
    <w:p>
      <w:pPr>
        <w:pStyle w:val="ListParagraph"/>
        <w:numPr>
          <w:ilvl w:val="0"/>
          <w:numId w:val="1"/>
        </w:numPr>
        <w:spacing w:after="80"/>
      </w:pPr>
      <w:r>
        <w:rPr>
          <w:color w:val="374151"/>
          <w:sz w:val="22"/>
          <w:szCs w:val="22"/>
          <w:rFonts w:ascii="Calibri" w:cs="Calibri" w:eastAsia="Calibri" w:hAnsi="Calibri"/>
        </w:rPr>
        <w:t xml:space="preserve">O órgão de gestão aprova formalmente o presente programa e os recursos alocados à sua execução</w:t>
      </w:r>
    </w:p>
    <w:p>
      <w:pPr>
        <w:pStyle w:val="ListParagraph"/>
        <w:numPr>
          <w:ilvl w:val="0"/>
          <w:numId w:val="1"/>
        </w:numPr>
        <w:spacing w:after="80"/>
      </w:pPr>
      <w:r>
        <w:rPr>
          <w:color w:val="374151"/>
          <w:sz w:val="22"/>
          <w:szCs w:val="22"/>
          <w:rFonts w:ascii="Calibri" w:cs="Calibri" w:eastAsia="Calibri" w:hAnsi="Calibri"/>
        </w:rPr>
        <w:t xml:space="preserve">Os membros do órgão de gestão são informados trimestralmente sobre o estado de execução do programa e os principais resultados</w:t>
      </w:r>
    </w:p>
    <w:p>
      <w:pPr>
        <w:pStyle w:val="ListParagraph"/>
        <w:numPr>
          <w:ilvl w:val="0"/>
          <w:numId w:val="1"/>
        </w:numPr>
        <w:spacing w:after="80"/>
      </w:pPr>
      <w:r>
        <w:rPr>
          <w:color w:val="374151"/>
          <w:sz w:val="22"/>
          <w:szCs w:val="22"/>
          <w:rFonts w:ascii="Calibri" w:cs="Calibri" w:eastAsia="Calibri" w:hAnsi="Calibri"/>
        </w:rPr>
        <w:t xml:space="preserve">A participação dos membros do órgão de gestão nas ações de formação é registada e arquivada como evidência de conformidade</w:t>
      </w:r>
    </w:p>
    <w:p>
      <w:pPr>
        <w:pStyle w:val="ListParagraph"/>
        <w:numPr>
          <w:ilvl w:val="0"/>
          <w:numId w:val="1"/>
        </w:numPr>
        <w:spacing w:after="80"/>
      </w:pPr>
      <w:r>
        <w:rPr>
          <w:color w:val="374151"/>
          <w:sz w:val="22"/>
          <w:szCs w:val="22"/>
          <w:rFonts w:ascii="Calibri" w:cs="Calibri" w:eastAsia="Calibri" w:hAnsi="Calibri"/>
        </w:rPr>
        <w:t xml:space="preserve">O órgão de gestão lidera pelo exemplo, participando nas campanhas de sensibilização e nos exercícios de simulação</w:t>
      </w:r>
    </w:p>
    <w:p>
      <w:pPr>
        <w:spacing w:after="160"/>
      </w:pPr>
      <w:r>
        <w:rPr>
          <w:color w:val="374151"/>
          <w:sz w:val="22"/>
          <w:szCs w:val="22"/>
          <w:rFonts w:ascii="Calibri" w:cs="Calibri" w:eastAsia="Calibri" w:hAnsi="Calibri"/>
        </w:rPr>
        <w:t xml:space="preserve">A responsabilidade pela coordenação e execução do programa é do responsável de cibersegurança designado nos termos do Art. 31.º do DL 125/2025, que reporta diretamente ao órgão de gestão sobre o estado de implementação.</w:t>
      </w:r>
    </w:p>
    <w:p>
      <w:pPr>
        <w:shd w:color="dbeafe" w:val="solid"/>
        <w:spacing w:before="160" w:after="160"/>
        <w:ind w:left="360" w:right="360"/>
      </w:pPr>
      <w:r>
        <w:rPr>
          <w:i/>
          <w:iCs/>
          <w:color w:val="1e3a8a"/>
          <w:sz w:val="22"/>
          <w:szCs w:val="22"/>
          <w:rFonts w:ascii="Calibri" w:cs="Calibri" w:eastAsia="Calibri" w:hAnsi="Calibri"/>
        </w:rPr>
        <w:t xml:space="preserve">Art. 25.º n.º 1 do DL 125/2025 — os membros dos órgãos de gestão respondem, nos termos gerais, pelo incumprimento das obrigações de cibersegurança, incluindo a formação.</w:t>
      </w:r>
    </w:p>
    <w:p>
      <w:pPr>
        <w:pStyle w:val="Heading1"/>
        <w:spacing w:before="400" w:after="200"/>
      </w:pPr>
      <w:r>
        <w:rPr>
          <w:b/>
          <w:bCs/>
          <w:color w:val="1e3a8a"/>
          <w:sz w:val="32"/>
          <w:szCs w:val="32"/>
          <w:rFonts w:ascii="Calibri" w:cs="Calibri" w:eastAsia="Calibri" w:hAnsi="Calibri"/>
        </w:rPr>
        <w:t xml:space="preserve">4. Programa anual de formação</w:t>
      </w:r>
    </w:p>
    <w:p>
      <w:pPr>
        <w:spacing w:after="160"/>
      </w:pPr>
      <w:r>
        <w:rPr>
          <w:color w:val="374151"/>
          <w:sz w:val="22"/>
          <w:szCs w:val="22"/>
          <w:rFonts w:ascii="Calibri" w:cs="Calibri" w:eastAsia="Calibri" w:hAnsi="Calibri"/>
        </w:rPr>
        <w:t xml:space="preserve">O programa anual de formação estrutura-se em quatro trimestres, com ações distribuídas ao longo do ano para garantir a continuidade e a sustentabilidade das iniciativas de formação.</w:t>
      </w:r>
    </w:p>
    <w:p>
      <w:pPr>
        <w:pStyle w:val="Heading2"/>
        <w:spacing w:before="320" w:after="160"/>
      </w:pPr>
      <w:r>
        <w:rPr>
          <w:b/>
          <w:bCs/>
          <w:color w:val="1e3a8a"/>
          <w:sz w:val="28"/>
          <w:szCs w:val="28"/>
          <w:rFonts w:ascii="Calibri" w:cs="Calibri" w:eastAsia="Calibri" w:hAnsi="Calibri"/>
        </w:rPr>
        <w:t xml:space="preserve">4.1. Primeiro trimestre (janeiro-março)</w:t>
      </w:r>
    </w:p>
    <w:p>
      <w:pPr>
        <w:spacing w:after="160"/>
      </w:pPr>
      <w:r>
        <w:rPr>
          <w:color w:val="374151"/>
          <w:sz w:val="22"/>
          <w:szCs w:val="22"/>
          <w:rFonts w:ascii="Calibri" w:cs="Calibri" w:eastAsia="Calibri" w:hAnsi="Calibri"/>
        </w:rPr>
        <w:t xml:space="preserve">O primeiro trimestre destina-se à formação de integração de novos colaboradores e à reciclagem anual de todos os colaboradores. É igualmente o período de revisão e atualização dos materiais de formação com base nas lições aprendidas do ano anterior.</w:t>
      </w:r>
    </w:p>
    <w:p>
      <w:pPr>
        <w:pStyle w:val="ListParagraph"/>
        <w:numPr>
          <w:ilvl w:val="0"/>
          <w:numId w:val="1"/>
        </w:numPr>
        <w:spacing w:after="80"/>
      </w:pPr>
      <w:r>
        <w:rPr>
          <w:color w:val="374151"/>
          <w:sz w:val="22"/>
          <w:szCs w:val="22"/>
          <w:rFonts w:ascii="Calibri" w:cs="Calibri" w:eastAsia="Calibri" w:hAnsi="Calibri"/>
        </w:rPr>
        <w:t xml:space="preserve">Formação de acolhimento em cibersegurança para novos colaboradores (obrigatória antes de aceder aos sistemas)</w:t>
      </w:r>
    </w:p>
    <w:p>
      <w:pPr>
        <w:pStyle w:val="ListParagraph"/>
        <w:numPr>
          <w:ilvl w:val="0"/>
          <w:numId w:val="1"/>
        </w:numPr>
        <w:spacing w:after="80"/>
      </w:pPr>
      <w:r>
        <w:rPr>
          <w:color w:val="374151"/>
          <w:sz w:val="22"/>
          <w:szCs w:val="22"/>
          <w:rFonts w:ascii="Calibri" w:cs="Calibri" w:eastAsia="Calibri" w:hAnsi="Calibri"/>
        </w:rPr>
        <w:t xml:space="preserve">Reciclagem anual obrigatória para todos os colaboradores: módulo de higiene cibernética (2 horas)</w:t>
      </w:r>
    </w:p>
    <w:p>
      <w:pPr>
        <w:pStyle w:val="ListParagraph"/>
        <w:numPr>
          <w:ilvl w:val="0"/>
          <w:numId w:val="1"/>
        </w:numPr>
        <w:spacing w:after="80"/>
      </w:pPr>
      <w:r>
        <w:rPr>
          <w:color w:val="374151"/>
          <w:sz w:val="22"/>
          <w:szCs w:val="22"/>
          <w:rFonts w:ascii="Calibri" w:cs="Calibri" w:eastAsia="Calibri" w:hAnsi="Calibri"/>
        </w:rPr>
        <w:t xml:space="preserve">Formação anual do órgão de gestão sobre governação da cibersegurança e responsabilidades legais (3 horas)</w:t>
      </w:r>
    </w:p>
    <w:p>
      <w:pPr>
        <w:pStyle w:val="ListParagraph"/>
        <w:numPr>
          <w:ilvl w:val="0"/>
          <w:numId w:val="1"/>
        </w:numPr>
        <w:spacing w:after="80"/>
      </w:pPr>
      <w:r>
        <w:rPr>
          <w:color w:val="374151"/>
          <w:sz w:val="22"/>
          <w:szCs w:val="22"/>
          <w:rFonts w:ascii="Calibri" w:cs="Calibri" w:eastAsia="Calibri" w:hAnsi="Calibri"/>
        </w:rPr>
        <w:t xml:space="preserve">Simulação de phishing n.º 1 do ano — linha de base (sem aviso prévio)</w:t>
      </w:r>
    </w:p>
    <w:p>
      <w:pPr>
        <w:pStyle w:val="ListParagraph"/>
        <w:numPr>
          <w:ilvl w:val="0"/>
          <w:numId w:val="1"/>
        </w:numPr>
        <w:spacing w:after="80"/>
      </w:pPr>
      <w:r>
        <w:rPr>
          <w:color w:val="374151"/>
          <w:sz w:val="22"/>
          <w:szCs w:val="22"/>
          <w:rFonts w:ascii="Calibri" w:cs="Calibri" w:eastAsia="Calibri" w:hAnsi="Calibri"/>
        </w:rPr>
        <w:t xml:space="preserve">Revisão e atualização do catálogo de cursos e materiais de formação</w:t>
      </w:r>
    </w:p>
    <w:p>
      <w:pPr>
        <w:pStyle w:val="Heading2"/>
        <w:spacing w:before="320" w:after="160"/>
      </w:pPr>
      <w:r>
        <w:rPr>
          <w:b/>
          <w:bCs/>
          <w:color w:val="1e3a8a"/>
          <w:sz w:val="28"/>
          <w:szCs w:val="28"/>
          <w:rFonts w:ascii="Calibri" w:cs="Calibri" w:eastAsia="Calibri" w:hAnsi="Calibri"/>
        </w:rPr>
        <w:t xml:space="preserve">4.2. Segundo trimestre (abril-junho)</w:t>
      </w:r>
    </w:p>
    <w:p>
      <w:pPr>
        <w:spacing w:after="160"/>
      </w:pPr>
      <w:r>
        <w:rPr>
          <w:color w:val="374151"/>
          <w:sz w:val="22"/>
          <w:szCs w:val="22"/>
          <w:rFonts w:ascii="Calibri" w:cs="Calibri" w:eastAsia="Calibri" w:hAnsi="Calibri"/>
        </w:rPr>
        <w:t xml:space="preserve">O segundo trimestre foca-se em formações técnicas para as equipas de TI e segurança, e na realização de campanhas de sensibilização temáticas para o conjunto da organização.</w:t>
      </w:r>
    </w:p>
    <w:p>
      <w:pPr>
        <w:pStyle w:val="ListParagraph"/>
        <w:numPr>
          <w:ilvl w:val="0"/>
          <w:numId w:val="1"/>
        </w:numPr>
        <w:spacing w:after="80"/>
      </w:pPr>
      <w:r>
        <w:rPr>
          <w:color w:val="374151"/>
          <w:sz w:val="22"/>
          <w:szCs w:val="22"/>
          <w:rFonts w:ascii="Calibri" w:cs="Calibri" w:eastAsia="Calibri" w:hAnsi="Calibri"/>
        </w:rPr>
        <w:t xml:space="preserve">Formação técnica avançada para equipas de TI: resposta a incidentes e análise forense (8 horas)</w:t>
      </w:r>
    </w:p>
    <w:p>
      <w:pPr>
        <w:pStyle w:val="ListParagraph"/>
        <w:numPr>
          <w:ilvl w:val="0"/>
          <w:numId w:val="1"/>
        </w:numPr>
        <w:spacing w:after="80"/>
      </w:pPr>
      <w:r>
        <w:rPr>
          <w:color w:val="374151"/>
          <w:sz w:val="22"/>
          <w:szCs w:val="22"/>
          <w:rFonts w:ascii="Calibri" w:cs="Calibri" w:eastAsia="Calibri" w:hAnsi="Calibri"/>
        </w:rPr>
        <w:t xml:space="preserve">Formação técnica para equipas de segurança: gestão de vulnerabilidades e testes de penetração (8 horas)</w:t>
      </w:r>
    </w:p>
    <w:p>
      <w:pPr>
        <w:pStyle w:val="ListParagraph"/>
        <w:numPr>
          <w:ilvl w:val="0"/>
          <w:numId w:val="1"/>
        </w:numPr>
        <w:spacing w:after="80"/>
      </w:pPr>
      <w:r>
        <w:rPr>
          <w:color w:val="374151"/>
          <w:sz w:val="22"/>
          <w:szCs w:val="22"/>
          <w:rFonts w:ascii="Calibri" w:cs="Calibri" w:eastAsia="Calibri" w:hAnsi="Calibri"/>
        </w:rPr>
        <w:t xml:space="preserve">Campanha de sensibilização temática: "Palavra-passe segura e autenticação multifator"</w:t>
      </w:r>
    </w:p>
    <w:p>
      <w:pPr>
        <w:pStyle w:val="ListParagraph"/>
        <w:numPr>
          <w:ilvl w:val="0"/>
          <w:numId w:val="1"/>
        </w:numPr>
        <w:spacing w:after="80"/>
      </w:pPr>
      <w:r>
        <w:rPr>
          <w:color w:val="374151"/>
          <w:sz w:val="22"/>
          <w:szCs w:val="22"/>
          <w:rFonts w:ascii="Calibri" w:cs="Calibri" w:eastAsia="Calibri" w:hAnsi="Calibri"/>
        </w:rPr>
        <w:t xml:space="preserve">Simulação de phishing n.º 2 — variante com pretexto de atualização de credenciais</w:t>
      </w:r>
    </w:p>
    <w:p>
      <w:pPr>
        <w:pStyle w:val="ListParagraph"/>
        <w:numPr>
          <w:ilvl w:val="0"/>
          <w:numId w:val="1"/>
        </w:numPr>
        <w:spacing w:after="80"/>
      </w:pPr>
      <w:r>
        <w:rPr>
          <w:color w:val="374151"/>
          <w:sz w:val="22"/>
          <w:szCs w:val="22"/>
          <w:rFonts w:ascii="Calibri" w:cs="Calibri" w:eastAsia="Calibri" w:hAnsi="Calibri"/>
        </w:rPr>
        <w:t xml:space="preserve">Formação específica para responsáveis de departamento: identificação e reporte de riscos (2 horas)</w:t>
      </w:r>
    </w:p>
    <w:p>
      <w:pPr>
        <w:pStyle w:val="Heading2"/>
        <w:spacing w:before="320" w:after="160"/>
      </w:pPr>
      <w:r>
        <w:rPr>
          <w:b/>
          <w:bCs/>
          <w:color w:val="1e3a8a"/>
          <w:sz w:val="28"/>
          <w:szCs w:val="28"/>
          <w:rFonts w:ascii="Calibri" w:cs="Calibri" w:eastAsia="Calibri" w:hAnsi="Calibri"/>
        </w:rPr>
        <w:t xml:space="preserve">4.3. Terceiro trimestre (julho-setembro)</w:t>
      </w:r>
    </w:p>
    <w:p>
      <w:pPr>
        <w:spacing w:after="160"/>
      </w:pPr>
      <w:r>
        <w:rPr>
          <w:color w:val="374151"/>
          <w:sz w:val="22"/>
          <w:szCs w:val="22"/>
          <w:rFonts w:ascii="Calibri" w:cs="Calibri" w:eastAsia="Calibri" w:hAnsi="Calibri"/>
        </w:rPr>
        <w:t xml:space="preserve">O terceiro trimestre destina-se à realização de exercícios práticos de resposta a incidentes e a formações sobre temas emergentes no panorama de ameaças.</w:t>
      </w:r>
    </w:p>
    <w:p>
      <w:pPr>
        <w:pStyle w:val="ListParagraph"/>
        <w:numPr>
          <w:ilvl w:val="0"/>
          <w:numId w:val="1"/>
        </w:numPr>
        <w:spacing w:after="80"/>
      </w:pPr>
      <w:r>
        <w:rPr>
          <w:color w:val="374151"/>
          <w:sz w:val="22"/>
          <w:szCs w:val="22"/>
          <w:rFonts w:ascii="Calibri" w:cs="Calibri" w:eastAsia="Calibri" w:hAnsi="Calibri"/>
        </w:rPr>
        <w:t xml:space="preserve">Exercício de resposta a incidentes (tabletop exercise) — cenário de ransomware (4 horas, equipas relevantes)</w:t>
      </w:r>
    </w:p>
    <w:p>
      <w:pPr>
        <w:pStyle w:val="ListParagraph"/>
        <w:numPr>
          <w:ilvl w:val="0"/>
          <w:numId w:val="1"/>
        </w:numPr>
        <w:spacing w:after="80"/>
      </w:pPr>
      <w:r>
        <w:rPr>
          <w:color w:val="374151"/>
          <w:sz w:val="22"/>
          <w:szCs w:val="22"/>
          <w:rFonts w:ascii="Calibri" w:cs="Calibri" w:eastAsia="Calibri" w:hAnsi="Calibri"/>
        </w:rPr>
        <w:t xml:space="preserve">Campanha de sensibilização temática: "Proteção de dados e RGPD na prática"</w:t>
      </w:r>
    </w:p>
    <w:p>
      <w:pPr>
        <w:pStyle w:val="ListParagraph"/>
        <w:numPr>
          <w:ilvl w:val="0"/>
          <w:numId w:val="1"/>
        </w:numPr>
        <w:spacing w:after="80"/>
      </w:pPr>
      <w:r>
        <w:rPr>
          <w:color w:val="374151"/>
          <w:sz w:val="22"/>
          <w:szCs w:val="22"/>
          <w:rFonts w:ascii="Calibri" w:cs="Calibri" w:eastAsia="Calibri" w:hAnsi="Calibri"/>
        </w:rPr>
        <w:t xml:space="preserve">Simulação de phishing n.º 3 — variante com pretexto de fatura ou pagamento urgente</w:t>
      </w:r>
    </w:p>
    <w:p>
      <w:pPr>
        <w:pStyle w:val="ListParagraph"/>
        <w:numPr>
          <w:ilvl w:val="0"/>
          <w:numId w:val="1"/>
        </w:numPr>
        <w:spacing w:after="80"/>
      </w:pPr>
      <w:r>
        <w:rPr>
          <w:color w:val="374151"/>
          <w:sz w:val="22"/>
          <w:szCs w:val="22"/>
          <w:rFonts w:ascii="Calibri" w:cs="Calibri" w:eastAsia="Calibri" w:hAnsi="Calibri"/>
        </w:rPr>
        <w:t xml:space="preserve">Formação sobre segurança em trabalho remoto e utilização de dispositivos móveis (1 hora, todos os colaboradores)</w:t>
      </w:r>
    </w:p>
    <w:p>
      <w:pPr>
        <w:pStyle w:val="ListParagraph"/>
        <w:numPr>
          <w:ilvl w:val="0"/>
          <w:numId w:val="1"/>
        </w:numPr>
        <w:spacing w:after="80"/>
      </w:pPr>
      <w:r>
        <w:rPr>
          <w:color w:val="374151"/>
          <w:sz w:val="22"/>
          <w:szCs w:val="22"/>
          <w:rFonts w:ascii="Calibri" w:cs="Calibri" w:eastAsia="Calibri" w:hAnsi="Calibri"/>
        </w:rPr>
        <w:t xml:space="preserve">Atualização de conteúdos com base em incidentes e ameaças recentes (boletins do CNCS)</w:t>
      </w:r>
    </w:p>
    <w:p>
      <w:pPr>
        <w:pStyle w:val="Heading2"/>
        <w:spacing w:before="320" w:after="160"/>
      </w:pPr>
      <w:r>
        <w:rPr>
          <w:b/>
          <w:bCs/>
          <w:color w:val="1e3a8a"/>
          <w:sz w:val="28"/>
          <w:szCs w:val="28"/>
          <w:rFonts w:ascii="Calibri" w:cs="Calibri" w:eastAsia="Calibri" w:hAnsi="Calibri"/>
        </w:rPr>
        <w:t xml:space="preserve">4.4. Quarto trimestre (outubro-dezembro)</w:t>
      </w:r>
    </w:p>
    <w:p>
      <w:pPr>
        <w:spacing w:after="160"/>
      </w:pPr>
      <w:r>
        <w:rPr>
          <w:color w:val="374151"/>
          <w:sz w:val="22"/>
          <w:szCs w:val="22"/>
          <w:rFonts w:ascii="Calibri" w:cs="Calibri" w:eastAsia="Calibri" w:hAnsi="Calibri"/>
        </w:rPr>
        <w:t xml:space="preserve">O quarto trimestre conclui o ciclo anual com a avaliação global do programa, a preparação do plano para o ano seguinte e a realização do Mês Europeu da Cibersegurança (outubro).</w:t>
      </w:r>
    </w:p>
    <w:p>
      <w:pPr>
        <w:pStyle w:val="ListParagraph"/>
        <w:numPr>
          <w:ilvl w:val="0"/>
          <w:numId w:val="1"/>
        </w:numPr>
        <w:spacing w:after="80"/>
      </w:pPr>
      <w:r>
        <w:rPr>
          <w:color w:val="374151"/>
          <w:sz w:val="22"/>
          <w:szCs w:val="22"/>
          <w:rFonts w:ascii="Calibri" w:cs="Calibri" w:eastAsia="Calibri" w:hAnsi="Calibri"/>
        </w:rPr>
        <w:t xml:space="preserve">Participação no Mês Europeu da Cibersegurança (ECSM) — atividades de sensibilização em outubro</w:t>
      </w:r>
    </w:p>
    <w:p>
      <w:pPr>
        <w:pStyle w:val="ListParagraph"/>
        <w:numPr>
          <w:ilvl w:val="0"/>
          <w:numId w:val="1"/>
        </w:numPr>
        <w:spacing w:after="80"/>
      </w:pPr>
      <w:r>
        <w:rPr>
          <w:color w:val="374151"/>
          <w:sz w:val="22"/>
          <w:szCs w:val="22"/>
          <w:rFonts w:ascii="Calibri" w:cs="Calibri" w:eastAsia="Calibri" w:hAnsi="Calibri"/>
        </w:rPr>
        <w:t xml:space="preserve">Simulação de phishing n.º 4 — variante sazonal (ex.: esquemas de phishing de época festiva)</w:t>
      </w:r>
    </w:p>
    <w:p>
      <w:pPr>
        <w:pStyle w:val="ListParagraph"/>
        <w:numPr>
          <w:ilvl w:val="0"/>
          <w:numId w:val="1"/>
        </w:numPr>
        <w:spacing w:after="80"/>
      </w:pPr>
      <w:r>
        <w:rPr>
          <w:color w:val="374151"/>
          <w:sz w:val="22"/>
          <w:szCs w:val="22"/>
          <w:rFonts w:ascii="Calibri" w:cs="Calibri" w:eastAsia="Calibri" w:hAnsi="Calibri"/>
        </w:rPr>
        <w:t xml:space="preserve">Avaliação anual da eficácia do programa — análise de KPIs e resultados</w:t>
      </w:r>
    </w:p>
    <w:p>
      <w:pPr>
        <w:pStyle w:val="ListParagraph"/>
        <w:numPr>
          <w:ilvl w:val="0"/>
          <w:numId w:val="1"/>
        </w:numPr>
        <w:spacing w:after="80"/>
      </w:pPr>
      <w:r>
        <w:rPr>
          <w:color w:val="374151"/>
          <w:sz w:val="22"/>
          <w:szCs w:val="22"/>
          <w:rFonts w:ascii="Calibri" w:cs="Calibri" w:eastAsia="Calibri" w:hAnsi="Calibri"/>
        </w:rPr>
        <w:t xml:space="preserve">Relatório anual de formação e sensibilização para o órgão de gestão</w:t>
      </w:r>
    </w:p>
    <w:p>
      <w:pPr>
        <w:pStyle w:val="ListParagraph"/>
        <w:numPr>
          <w:ilvl w:val="0"/>
          <w:numId w:val="1"/>
        </w:numPr>
        <w:spacing w:after="80"/>
      </w:pPr>
      <w:r>
        <w:rPr>
          <w:color w:val="374151"/>
          <w:sz w:val="22"/>
          <w:szCs w:val="22"/>
          <w:rFonts w:ascii="Calibri" w:cs="Calibri" w:eastAsia="Calibri" w:hAnsi="Calibri"/>
        </w:rPr>
        <w:t xml:space="preserve">Elaboração e aprovação do plano de formação para o ano seguinte</w:t>
      </w:r>
    </w:p>
    <w:p>
      <w:pPr>
        <w:pStyle w:val="Heading1"/>
        <w:spacing w:before="400" w:after="200"/>
      </w:pPr>
      <w:r>
        <w:rPr>
          <w:b/>
          <w:bCs/>
          <w:color w:val="1e3a8a"/>
          <w:sz w:val="32"/>
          <w:szCs w:val="32"/>
          <w:rFonts w:ascii="Calibri" w:cs="Calibri" w:eastAsia="Calibri" w:hAnsi="Calibri"/>
        </w:rPr>
        <w:t xml:space="preserve">5. Conteúdos programáticos</w:t>
      </w:r>
    </w:p>
    <w:p>
      <w:pPr>
        <w:spacing w:after="160"/>
      </w:pPr>
      <w:r>
        <w:rPr>
          <w:color w:val="374151"/>
          <w:sz w:val="22"/>
          <w:szCs w:val="22"/>
          <w:rFonts w:ascii="Calibri" w:cs="Calibri" w:eastAsia="Calibri" w:hAnsi="Calibri"/>
        </w:rPr>
        <w:t xml:space="preserve">Os conteúdos de formação são definidos em função do público-alvo e do nível de responsabilidade. Os módulos de base são comuns a todos os colaboradores; os módulos avançados destinam-se a grupos específicos.</w:t>
      </w:r>
    </w:p>
    <w:p>
      <w:pPr>
        <w:pStyle w:val="Heading2"/>
        <w:spacing w:before="320" w:after="160"/>
      </w:pPr>
      <w:r>
        <w:rPr>
          <w:b/>
          <w:bCs/>
          <w:color w:val="1e3a8a"/>
          <w:sz w:val="28"/>
          <w:szCs w:val="28"/>
          <w:rFonts w:ascii="Calibri" w:cs="Calibri" w:eastAsia="Calibri" w:hAnsi="Calibri"/>
        </w:rPr>
        <w:t xml:space="preserve">5.1. Módulos de base (todos os colaboradores)</w:t>
      </w:r>
    </w:p>
    <w:p>
      <w:pPr>
        <w:pStyle w:val="ListParagraph"/>
        <w:numPr>
          <w:ilvl w:val="0"/>
          <w:numId w:val="1"/>
        </w:numPr>
        <w:spacing w:after="80"/>
      </w:pPr>
      <w:r>
        <w:rPr>
          <w:color w:val="374151"/>
          <w:sz w:val="22"/>
          <w:szCs w:val="22"/>
          <w:rFonts w:ascii="Calibri" w:cs="Calibri" w:eastAsia="Calibri" w:hAnsi="Calibri"/>
        </w:rPr>
        <w:t xml:space="preserve">Introdução à cibersegurança: conceitos fundamentais e panorama de ameaças atual</w:t>
      </w:r>
    </w:p>
    <w:p>
      <w:pPr>
        <w:pStyle w:val="ListParagraph"/>
        <w:numPr>
          <w:ilvl w:val="0"/>
          <w:numId w:val="1"/>
        </w:numPr>
        <w:spacing w:after="80"/>
      </w:pPr>
      <w:r>
        <w:rPr>
          <w:color w:val="374151"/>
          <w:sz w:val="22"/>
          <w:szCs w:val="22"/>
          <w:rFonts w:ascii="Calibri" w:cs="Calibri" w:eastAsia="Calibri" w:hAnsi="Calibri"/>
        </w:rPr>
        <w:t xml:space="preserve">Identificação e resposta a ataques de phishing, smishing e vishing</w:t>
      </w:r>
    </w:p>
    <w:p>
      <w:pPr>
        <w:pStyle w:val="ListParagraph"/>
        <w:numPr>
          <w:ilvl w:val="0"/>
          <w:numId w:val="1"/>
        </w:numPr>
        <w:spacing w:after="80"/>
      </w:pPr>
      <w:r>
        <w:rPr>
          <w:color w:val="374151"/>
          <w:sz w:val="22"/>
          <w:szCs w:val="22"/>
          <w:rFonts w:ascii="Calibri" w:cs="Calibri" w:eastAsia="Calibri" w:hAnsi="Calibri"/>
        </w:rPr>
        <w:t xml:space="preserve">Gestão segura de palavras-passe e utilização de gestores de palavras-passe</w:t>
      </w:r>
    </w:p>
    <w:p>
      <w:pPr>
        <w:pStyle w:val="ListParagraph"/>
        <w:numPr>
          <w:ilvl w:val="0"/>
          <w:numId w:val="1"/>
        </w:numPr>
        <w:spacing w:after="80"/>
      </w:pPr>
      <w:r>
        <w:rPr>
          <w:color w:val="374151"/>
          <w:sz w:val="22"/>
          <w:szCs w:val="22"/>
          <w:rFonts w:ascii="Calibri" w:cs="Calibri" w:eastAsia="Calibri" w:hAnsi="Calibri"/>
        </w:rPr>
        <w:t xml:space="preserve">Autenticação multifator (MFA): importância e utilização correta</w:t>
      </w:r>
    </w:p>
    <w:p>
      <w:pPr>
        <w:pStyle w:val="ListParagraph"/>
        <w:numPr>
          <w:ilvl w:val="0"/>
          <w:numId w:val="1"/>
        </w:numPr>
        <w:spacing w:after="80"/>
      </w:pPr>
      <w:r>
        <w:rPr>
          <w:color w:val="374151"/>
          <w:sz w:val="22"/>
          <w:szCs w:val="22"/>
          <w:rFonts w:ascii="Calibri" w:cs="Calibri" w:eastAsia="Calibri" w:hAnsi="Calibri"/>
        </w:rPr>
        <w:t xml:space="preserve">Utilização segura de dispositivos (computadores, telemóveis, tablets)</w:t>
      </w:r>
    </w:p>
    <w:p>
      <w:pPr>
        <w:pStyle w:val="ListParagraph"/>
        <w:numPr>
          <w:ilvl w:val="0"/>
          <w:numId w:val="1"/>
        </w:numPr>
        <w:spacing w:after="80"/>
      </w:pPr>
      <w:r>
        <w:rPr>
          <w:color w:val="374151"/>
          <w:sz w:val="22"/>
          <w:szCs w:val="22"/>
          <w:rFonts w:ascii="Calibri" w:cs="Calibri" w:eastAsia="Calibri" w:hAnsi="Calibri"/>
        </w:rPr>
        <w:t xml:space="preserve">Segurança no trabalho remoto e em redes Wi-Fi públicas</w:t>
      </w:r>
    </w:p>
    <w:p>
      <w:pPr>
        <w:pStyle w:val="ListParagraph"/>
        <w:numPr>
          <w:ilvl w:val="0"/>
          <w:numId w:val="1"/>
        </w:numPr>
        <w:spacing w:after="80"/>
      </w:pPr>
      <w:r>
        <w:rPr>
          <w:color w:val="374151"/>
          <w:sz w:val="22"/>
          <w:szCs w:val="22"/>
          <w:rFonts w:ascii="Calibri" w:cs="Calibri" w:eastAsia="Calibri" w:hAnsi="Calibri"/>
        </w:rPr>
        <w:t xml:space="preserve">Proteção de dados pessoais e conformidade com o RGPD</w:t>
      </w:r>
    </w:p>
    <w:p>
      <w:pPr>
        <w:pStyle w:val="ListParagraph"/>
        <w:numPr>
          <w:ilvl w:val="0"/>
          <w:numId w:val="1"/>
        </w:numPr>
        <w:spacing w:after="80"/>
      </w:pPr>
      <w:r>
        <w:rPr>
          <w:color w:val="374151"/>
          <w:sz w:val="22"/>
          <w:szCs w:val="22"/>
          <w:rFonts w:ascii="Calibri" w:cs="Calibri" w:eastAsia="Calibri" w:hAnsi="Calibri"/>
        </w:rPr>
        <w:t xml:space="preserve">Procedimentos de reporte de incidentes e suspeitas de segurança</w:t>
      </w:r>
    </w:p>
    <w:p>
      <w:pPr>
        <w:pStyle w:val="ListParagraph"/>
        <w:numPr>
          <w:ilvl w:val="0"/>
          <w:numId w:val="1"/>
        </w:numPr>
        <w:spacing w:after="80"/>
      </w:pPr>
      <w:r>
        <w:rPr>
          <w:color w:val="374151"/>
          <w:sz w:val="22"/>
          <w:szCs w:val="22"/>
          <w:rFonts w:ascii="Calibri" w:cs="Calibri" w:eastAsia="Calibri" w:hAnsi="Calibri"/>
        </w:rPr>
        <w:t xml:space="preserve">Engenharia social: identificação e prevenção de manipulação psicológica</w:t>
      </w:r>
    </w:p>
    <w:p>
      <w:pPr>
        <w:pStyle w:val="ListParagraph"/>
        <w:numPr>
          <w:ilvl w:val="0"/>
          <w:numId w:val="1"/>
        </w:numPr>
        <w:spacing w:after="80"/>
      </w:pPr>
      <w:r>
        <w:rPr>
          <w:color w:val="374151"/>
          <w:sz w:val="22"/>
          <w:szCs w:val="22"/>
          <w:rFonts w:ascii="Calibri" w:cs="Calibri" w:eastAsia="Calibri" w:hAnsi="Calibri"/>
        </w:rPr>
        <w:t xml:space="preserve">Política de uso aceitável dos sistemas de informação da organização</w:t>
      </w:r>
    </w:p>
    <w:p>
      <w:pPr>
        <w:pStyle w:val="Heading2"/>
        <w:spacing w:before="320" w:after="160"/>
      </w:pPr>
      <w:r>
        <w:rPr>
          <w:b/>
          <w:bCs/>
          <w:color w:val="1e3a8a"/>
          <w:sz w:val="28"/>
          <w:szCs w:val="28"/>
          <w:rFonts w:ascii="Calibri" w:cs="Calibri" w:eastAsia="Calibri" w:hAnsi="Calibri"/>
        </w:rPr>
        <w:t xml:space="preserve">5.2. Módulos avançados para órgãos de gestão</w:t>
      </w:r>
    </w:p>
    <w:p>
      <w:pPr>
        <w:pStyle w:val="ListParagraph"/>
        <w:numPr>
          <w:ilvl w:val="0"/>
          <w:numId w:val="1"/>
        </w:numPr>
        <w:spacing w:after="80"/>
      </w:pPr>
      <w:r>
        <w:rPr>
          <w:color w:val="374151"/>
          <w:sz w:val="22"/>
          <w:szCs w:val="22"/>
          <w:rFonts w:ascii="Calibri" w:cs="Calibri" w:eastAsia="Calibri" w:hAnsi="Calibri"/>
        </w:rPr>
        <w:t xml:space="preserve">Governação da cibersegurança: responsabilidades legais ao abrigo do DL 125/2025</w:t>
      </w:r>
    </w:p>
    <w:p>
      <w:pPr>
        <w:pStyle w:val="ListParagraph"/>
        <w:numPr>
          <w:ilvl w:val="0"/>
          <w:numId w:val="1"/>
        </w:numPr>
        <w:spacing w:after="80"/>
      </w:pPr>
      <w:r>
        <w:rPr>
          <w:color w:val="374151"/>
          <w:sz w:val="22"/>
          <w:szCs w:val="22"/>
          <w:rFonts w:ascii="Calibri" w:cs="Calibri" w:eastAsia="Calibri" w:hAnsi="Calibri"/>
        </w:rPr>
        <w:t xml:space="preserve">Gestão de riscos de cibersegurança: metodologias e processo de decisão</w:t>
      </w:r>
    </w:p>
    <w:p>
      <w:pPr>
        <w:pStyle w:val="ListParagraph"/>
        <w:numPr>
          <w:ilvl w:val="0"/>
          <w:numId w:val="1"/>
        </w:numPr>
        <w:spacing w:after="80"/>
      </w:pPr>
      <w:r>
        <w:rPr>
          <w:color w:val="374151"/>
          <w:sz w:val="22"/>
          <w:szCs w:val="22"/>
          <w:rFonts w:ascii="Calibri" w:cs="Calibri" w:eastAsia="Calibri" w:hAnsi="Calibri"/>
        </w:rPr>
        <w:t xml:space="preserve">Leitura e interpretação de relatórios de risco e de incidentes</w:t>
      </w:r>
    </w:p>
    <w:p>
      <w:pPr>
        <w:pStyle w:val="ListParagraph"/>
        <w:numPr>
          <w:ilvl w:val="0"/>
          <w:numId w:val="1"/>
        </w:numPr>
        <w:spacing w:after="80"/>
      </w:pPr>
      <w:r>
        <w:rPr>
          <w:color w:val="374151"/>
          <w:sz w:val="22"/>
          <w:szCs w:val="22"/>
          <w:rFonts w:ascii="Calibri" w:cs="Calibri" w:eastAsia="Calibri" w:hAnsi="Calibri"/>
        </w:rPr>
        <w:t xml:space="preserve">Obrigações de notificação ao CNCS e comunicação em situação de crise</w:t>
      </w:r>
    </w:p>
    <w:p>
      <w:pPr>
        <w:pStyle w:val="ListParagraph"/>
        <w:numPr>
          <w:ilvl w:val="0"/>
          <w:numId w:val="1"/>
        </w:numPr>
        <w:spacing w:after="80"/>
      </w:pPr>
      <w:r>
        <w:rPr>
          <w:color w:val="374151"/>
          <w:sz w:val="22"/>
          <w:szCs w:val="22"/>
          <w:rFonts w:ascii="Calibri" w:cs="Calibri" w:eastAsia="Calibri" w:hAnsi="Calibri"/>
        </w:rPr>
        <w:t xml:space="preserve">Implicações financeiras e reputacionais de incidentes de cibersegurança</w:t>
      </w:r>
    </w:p>
    <w:p>
      <w:pPr>
        <w:pStyle w:val="ListParagraph"/>
        <w:numPr>
          <w:ilvl w:val="0"/>
          <w:numId w:val="1"/>
        </w:numPr>
        <w:spacing w:after="80"/>
      </w:pPr>
      <w:r>
        <w:rPr>
          <w:color w:val="374151"/>
          <w:sz w:val="22"/>
          <w:szCs w:val="22"/>
          <w:rFonts w:ascii="Calibri" w:cs="Calibri" w:eastAsia="Calibri" w:hAnsi="Calibri"/>
        </w:rPr>
        <w:t xml:space="preserve">Regime sancionatório do DL 125/2025 e responsabilidade pessoal dos gestores</w:t>
      </w:r>
    </w:p>
    <w:p>
      <w:pPr>
        <w:pStyle w:val="ListParagraph"/>
        <w:numPr>
          <w:ilvl w:val="0"/>
          <w:numId w:val="1"/>
        </w:numPr>
        <w:spacing w:after="80"/>
      </w:pPr>
      <w:r>
        <w:rPr>
          <w:color w:val="374151"/>
          <w:sz w:val="22"/>
          <w:szCs w:val="22"/>
          <w:rFonts w:ascii="Calibri" w:cs="Calibri" w:eastAsia="Calibri" w:hAnsi="Calibri"/>
        </w:rPr>
        <w:t xml:space="preserve">Tendências e ameaças emergentes com impacto na estratégia de negócio</w:t>
      </w:r>
    </w:p>
    <w:p>
      <w:pPr>
        <w:pStyle w:val="Heading1"/>
        <w:spacing w:before="400" w:after="200"/>
      </w:pPr>
      <w:r>
        <w:rPr>
          <w:b/>
          <w:bCs/>
          <w:color w:val="1e3a8a"/>
          <w:sz w:val="32"/>
          <w:szCs w:val="32"/>
          <w:rFonts w:ascii="Calibri" w:cs="Calibri" w:eastAsia="Calibri" w:hAnsi="Calibri"/>
        </w:rPr>
        <w:t xml:space="preserve">6. Formação para órgãos de gestão</w:t>
      </w:r>
    </w:p>
    <w:p>
      <w:pPr>
        <w:spacing w:after="160"/>
      </w:pPr>
      <w:r>
        <w:rPr>
          <w:color w:val="374151"/>
          <w:sz w:val="22"/>
          <w:szCs w:val="22"/>
          <w:rFonts w:ascii="Calibri" w:cs="Calibri" w:eastAsia="Calibri" w:hAnsi="Calibri"/>
        </w:rPr>
        <w:t xml:space="preserve">A formação dos órgãos de gestão tem caráter obrigatório nos termos do Art. 25.º n.º 1 alínea d) do DL 125/2025. A sua conceção tem em conta o perfil de risco da organização, o setor de atividade e as responsabilidades específicas dos participantes.</w:t>
      </w:r>
    </w:p>
    <w:p>
      <w:pPr>
        <w:spacing w:after="160"/>
      </w:pPr>
      <w:r>
        <w:rPr>
          <w:color w:val="374151"/>
          <w:sz w:val="22"/>
          <w:szCs w:val="22"/>
          <w:rFonts w:ascii="Calibri" w:cs="Calibri" w:eastAsia="Calibri" w:hAnsi="Calibri"/>
        </w:rPr>
        <w:t xml:space="preserve">A formação destina-se a capacitar os membros do órgão de gestão para:</w:t>
      </w:r>
    </w:p>
    <w:p>
      <w:pPr>
        <w:pStyle w:val="ListParagraph"/>
        <w:numPr>
          <w:ilvl w:val="0"/>
          <w:numId w:val="1"/>
        </w:numPr>
        <w:spacing w:after="80"/>
      </w:pPr>
      <w:r>
        <w:rPr>
          <w:color w:val="374151"/>
          <w:sz w:val="22"/>
          <w:szCs w:val="22"/>
          <w:rFonts w:ascii="Calibri" w:cs="Calibri" w:eastAsia="Calibri" w:hAnsi="Calibri"/>
        </w:rPr>
        <w:t xml:space="preserve">Compreender o quadro legal de cibersegurança aplicável à organização, incluindo o DL 125/2025</w:t>
      </w:r>
    </w:p>
    <w:p>
      <w:pPr>
        <w:pStyle w:val="ListParagraph"/>
        <w:numPr>
          <w:ilvl w:val="0"/>
          <w:numId w:val="1"/>
        </w:numPr>
        <w:spacing w:after="80"/>
      </w:pPr>
      <w:r>
        <w:rPr>
          <w:color w:val="374151"/>
          <w:sz w:val="22"/>
          <w:szCs w:val="22"/>
          <w:rFonts w:ascii="Calibri" w:cs="Calibri" w:eastAsia="Calibri" w:hAnsi="Calibri"/>
        </w:rPr>
        <w:t xml:space="preserve">Exercer uma supervisão informada e eficaz sobre as medidas de cibersegurança implementadas</w:t>
      </w:r>
    </w:p>
    <w:p>
      <w:pPr>
        <w:pStyle w:val="ListParagraph"/>
        <w:numPr>
          <w:ilvl w:val="0"/>
          <w:numId w:val="1"/>
        </w:numPr>
        <w:spacing w:after="80"/>
      </w:pPr>
      <w:r>
        <w:rPr>
          <w:color w:val="374151"/>
          <w:sz w:val="22"/>
          <w:szCs w:val="22"/>
          <w:rFonts w:ascii="Calibri" w:cs="Calibri" w:eastAsia="Calibri" w:hAnsi="Calibri"/>
        </w:rPr>
        <w:t xml:space="preserve">Tomar decisões estratégicas sobre investimento em cibersegurança com base em critérios de risco</w:t>
      </w:r>
    </w:p>
    <w:p>
      <w:pPr>
        <w:pStyle w:val="ListParagraph"/>
        <w:numPr>
          <w:ilvl w:val="0"/>
          <w:numId w:val="1"/>
        </w:numPr>
        <w:spacing w:after="80"/>
      </w:pPr>
      <w:r>
        <w:rPr>
          <w:color w:val="374151"/>
          <w:sz w:val="22"/>
          <w:szCs w:val="22"/>
          <w:rFonts w:ascii="Calibri" w:cs="Calibri" w:eastAsia="Calibri" w:hAnsi="Calibri"/>
        </w:rPr>
        <w:t xml:space="preserve">Cumprir as obrigações de reporte e comunicação em situação de incidente grave</w:t>
      </w:r>
    </w:p>
    <w:p>
      <w:pPr>
        <w:pStyle w:val="ListParagraph"/>
        <w:numPr>
          <w:ilvl w:val="0"/>
          <w:numId w:val="1"/>
        </w:numPr>
        <w:spacing w:after="80"/>
      </w:pPr>
      <w:r>
        <w:rPr>
          <w:color w:val="374151"/>
          <w:sz w:val="22"/>
          <w:szCs w:val="22"/>
          <w:rFonts w:ascii="Calibri" w:cs="Calibri" w:eastAsia="Calibri" w:hAnsi="Calibri"/>
        </w:rPr>
        <w:t xml:space="preserve">Assumir a responsabilidade pessoal prevista no Art. 25.º do DL 125/2025</w:t>
      </w:r>
    </w:p>
    <w:p>
      <w:pPr>
        <w:spacing w:after="160"/>
      </w:pPr>
      <w:r>
        <w:rPr>
          <w:color w:val="374151"/>
          <w:sz w:val="22"/>
          <w:szCs w:val="22"/>
          <w:rFonts w:ascii="Calibri" w:cs="Calibri" w:eastAsia="Calibri" w:hAnsi="Calibri"/>
        </w:rPr>
        <w:t xml:space="preserve">Formato: sessão presencial ou síncrona com duração mínima de 3 horas, com casos práticos e análise de cenários. A presença é obrigatória e a frequência registada. A formação é realizada por formador externo certificado ou por entidade reconhecida pelo CNCS.</w:t>
      </w:r>
    </w:p>
    <w:p>
      <w:pPr>
        <w:shd w:color="dbeafe" w:val="solid"/>
        <w:spacing w:before="160" w:after="160"/>
        <w:ind w:left="360" w:right="360"/>
      </w:pPr>
      <w:r>
        <w:rPr>
          <w:i/>
          <w:iCs/>
          <w:color w:val="1e3a8a"/>
          <w:sz w:val="22"/>
          <w:szCs w:val="22"/>
          <w:rFonts w:ascii="Calibri" w:cs="Calibri" w:eastAsia="Calibri" w:hAnsi="Calibri"/>
        </w:rPr>
        <w:t xml:space="preserve">Art. 25.º n.º 1 alínea d) do DL 125/2025 — obrigação legal de formação dos membros dos órgãos de gestão em cibersegurança.</w:t>
      </w:r>
    </w:p>
    <w:p>
      <w:pPr>
        <w:pStyle w:val="Heading1"/>
        <w:spacing w:before="400" w:after="200"/>
      </w:pPr>
      <w:r>
        <w:rPr>
          <w:b/>
          <w:bCs/>
          <w:color w:val="1e3a8a"/>
          <w:sz w:val="32"/>
          <w:szCs w:val="32"/>
          <w:rFonts w:ascii="Calibri" w:cs="Calibri" w:eastAsia="Calibri" w:hAnsi="Calibri"/>
        </w:rPr>
        <w:t xml:space="preserve">7. Formação para colaboradores</w:t>
      </w:r>
    </w:p>
    <w:p>
      <w:pPr>
        <w:spacing w:after="160"/>
      </w:pPr>
      <w:r>
        <w:rPr>
          <w:color w:val="374151"/>
          <w:sz w:val="22"/>
          <w:szCs w:val="22"/>
          <w:rFonts w:ascii="Calibri" w:cs="Calibri" w:eastAsia="Calibri" w:hAnsi="Calibri"/>
        </w:rPr>
        <w:t xml:space="preserve">A formação geral de colaboradores cobre os conteúdos de base listados na secção 5.1 e é obrigatória para todos os colaboradores, independentemente do cargo ou vínculo. A frequência mínima é anual, com formação adicional de integração para novos colaboradores.</w:t>
      </w:r>
    </w:p>
    <w:p>
      <w:pPr>
        <w:pStyle w:val="Heading2"/>
        <w:spacing w:before="320" w:after="160"/>
      </w:pPr>
      <w:r>
        <w:rPr>
          <w:b/>
          <w:bCs/>
          <w:color w:val="1e3a8a"/>
          <w:sz w:val="28"/>
          <w:szCs w:val="28"/>
          <w:rFonts w:ascii="Calibri" w:cs="Calibri" w:eastAsia="Calibri" w:hAnsi="Calibri"/>
        </w:rPr>
        <w:t xml:space="preserve">7.1. Formação de integração</w:t>
      </w:r>
    </w:p>
    <w:p>
      <w:pPr>
        <w:spacing w:after="160"/>
      </w:pPr>
      <w:r>
        <w:rPr>
          <w:color w:val="374151"/>
          <w:sz w:val="22"/>
          <w:szCs w:val="22"/>
          <w:rFonts w:ascii="Calibri" w:cs="Calibri" w:eastAsia="Calibri" w:hAnsi="Calibri"/>
        </w:rPr>
        <w:t xml:space="preserve">Todos os novos colaboradores frequentam formação de integração em cibersegurança antes de lhes ser concedido acesso pleno aos sistemas de informação da organização. A formação de integração tem a duração mínima de 2 horas e cobre:</w:t>
      </w:r>
    </w:p>
    <w:p>
      <w:pPr>
        <w:pStyle w:val="ListParagraph"/>
        <w:numPr>
          <w:ilvl w:val="0"/>
          <w:numId w:val="1"/>
        </w:numPr>
        <w:spacing w:after="80"/>
      </w:pPr>
      <w:r>
        <w:rPr>
          <w:color w:val="374151"/>
          <w:sz w:val="22"/>
          <w:szCs w:val="22"/>
          <w:rFonts w:ascii="Calibri" w:cs="Calibri" w:eastAsia="Calibri" w:hAnsi="Calibri"/>
        </w:rPr>
        <w:t xml:space="preserve">Política de segurança da informação e principais documentos de referência</w:t>
      </w:r>
    </w:p>
    <w:p>
      <w:pPr>
        <w:pStyle w:val="ListParagraph"/>
        <w:numPr>
          <w:ilvl w:val="0"/>
          <w:numId w:val="1"/>
        </w:numPr>
        <w:spacing w:after="80"/>
      </w:pPr>
      <w:r>
        <w:rPr>
          <w:color w:val="374151"/>
          <w:sz w:val="22"/>
          <w:szCs w:val="22"/>
          <w:rFonts w:ascii="Calibri" w:cs="Calibri" w:eastAsia="Calibri" w:hAnsi="Calibri"/>
        </w:rPr>
        <w:t xml:space="preserve">Procedimentos de criação e gestão de credenciais de acesso</w:t>
      </w:r>
    </w:p>
    <w:p>
      <w:pPr>
        <w:pStyle w:val="ListParagraph"/>
        <w:numPr>
          <w:ilvl w:val="0"/>
          <w:numId w:val="1"/>
        </w:numPr>
        <w:spacing w:after="80"/>
      </w:pPr>
      <w:r>
        <w:rPr>
          <w:color w:val="374151"/>
          <w:sz w:val="22"/>
          <w:szCs w:val="22"/>
          <w:rFonts w:ascii="Calibri" w:cs="Calibri" w:eastAsia="Calibri" w:hAnsi="Calibri"/>
        </w:rPr>
        <w:t xml:space="preserve">Configuração e utilização de autenticação multifator (MFA)</w:t>
      </w:r>
    </w:p>
    <w:p>
      <w:pPr>
        <w:pStyle w:val="ListParagraph"/>
        <w:numPr>
          <w:ilvl w:val="0"/>
          <w:numId w:val="1"/>
        </w:numPr>
        <w:spacing w:after="80"/>
      </w:pPr>
      <w:r>
        <w:rPr>
          <w:color w:val="374151"/>
          <w:sz w:val="22"/>
          <w:szCs w:val="22"/>
          <w:rFonts w:ascii="Calibri" w:cs="Calibri" w:eastAsia="Calibri" w:hAnsi="Calibri"/>
        </w:rPr>
        <w:t xml:space="preserve">Identificação de tentativas de phishing e outros ataques de engenharia social</w:t>
      </w:r>
    </w:p>
    <w:p>
      <w:pPr>
        <w:pStyle w:val="ListParagraph"/>
        <w:numPr>
          <w:ilvl w:val="0"/>
          <w:numId w:val="1"/>
        </w:numPr>
        <w:spacing w:after="80"/>
      </w:pPr>
      <w:r>
        <w:rPr>
          <w:color w:val="374151"/>
          <w:sz w:val="22"/>
          <w:szCs w:val="22"/>
          <w:rFonts w:ascii="Calibri" w:cs="Calibri" w:eastAsia="Calibri" w:hAnsi="Calibri"/>
        </w:rPr>
        <w:t xml:space="preserve">Procedimentos de reporte de incidentes e suspeitas de segurança</w:t>
      </w:r>
    </w:p>
    <w:p>
      <w:pPr>
        <w:pStyle w:val="ListParagraph"/>
        <w:numPr>
          <w:ilvl w:val="0"/>
          <w:numId w:val="1"/>
        </w:numPr>
        <w:spacing w:after="80"/>
      </w:pPr>
      <w:r>
        <w:rPr>
          <w:color w:val="374151"/>
          <w:sz w:val="22"/>
          <w:szCs w:val="22"/>
          <w:rFonts w:ascii="Calibri" w:cs="Calibri" w:eastAsia="Calibri" w:hAnsi="Calibri"/>
        </w:rPr>
        <w:t xml:space="preserve">Regras de utilização aceitável dos sistemas e dados da organização</w:t>
      </w:r>
    </w:p>
    <w:p>
      <w:pPr>
        <w:pStyle w:val="ListParagraph"/>
        <w:numPr>
          <w:ilvl w:val="0"/>
          <w:numId w:val="1"/>
        </w:numPr>
        <w:spacing w:after="80"/>
      </w:pPr>
      <w:r>
        <w:rPr>
          <w:color w:val="374151"/>
          <w:sz w:val="22"/>
          <w:szCs w:val="22"/>
          <w:rFonts w:ascii="Calibri" w:cs="Calibri" w:eastAsia="Calibri" w:hAnsi="Calibri"/>
        </w:rPr>
        <w:t xml:space="preserve">Obrigações de confidencialidade e protecção de dados pessoais</w:t>
      </w:r>
    </w:p>
    <w:p>
      <w:pPr>
        <w:pStyle w:val="Heading2"/>
        <w:spacing w:before="320" w:after="160"/>
      </w:pPr>
      <w:r>
        <w:rPr>
          <w:b/>
          <w:bCs/>
          <w:color w:val="1e3a8a"/>
          <w:sz w:val="28"/>
          <w:szCs w:val="28"/>
          <w:rFonts w:ascii="Calibri" w:cs="Calibri" w:eastAsia="Calibri" w:hAnsi="Calibri"/>
        </w:rPr>
        <w:t xml:space="preserve">7.2. Reciclagem anual</w:t>
      </w:r>
    </w:p>
    <w:p>
      <w:pPr>
        <w:spacing w:after="160"/>
      </w:pPr>
      <w:r>
        <w:rPr>
          <w:color w:val="374151"/>
          <w:sz w:val="22"/>
          <w:szCs w:val="22"/>
          <w:rFonts w:ascii="Calibri" w:cs="Calibri" w:eastAsia="Calibri" w:hAnsi="Calibri"/>
        </w:rPr>
        <w:t xml:space="preserve">A reciclagem anual tem a duração mínima de 2 horas e é realizada em formato e-learning ou presencial, com avaliação final obrigatória. Os colaboradores que não completem a reciclagem dentro do prazo definido são objeto de notificação ao responsável direto e ao responsável de cibersegurança. A taxa de conclusão é monitorizada como KPI.</w:t>
      </w:r>
    </w:p>
    <w:p>
      <w:pPr>
        <w:pStyle w:val="Heading1"/>
        <w:spacing w:before="400" w:after="200"/>
      </w:pPr>
      <w:r>
        <w:rPr>
          <w:b/>
          <w:bCs/>
          <w:color w:val="1e3a8a"/>
          <w:sz w:val="32"/>
          <w:szCs w:val="32"/>
          <w:rFonts w:ascii="Calibri" w:cs="Calibri" w:eastAsia="Calibri" w:hAnsi="Calibri"/>
        </w:rPr>
        <w:t xml:space="preserve">8. Formação para equipas técnicas</w:t>
      </w:r>
    </w:p>
    <w:p>
      <w:pPr>
        <w:spacing w:after="160"/>
      </w:pPr>
      <w:r>
        <w:rPr>
          <w:color w:val="374151"/>
          <w:sz w:val="22"/>
          <w:szCs w:val="22"/>
          <w:rFonts w:ascii="Calibri" w:cs="Calibri" w:eastAsia="Calibri" w:hAnsi="Calibri"/>
        </w:rPr>
        <w:t xml:space="preserve">As equipas técnicas de TI e segurança têm necessidades de formação específicas, dada a sua exposição direta a ameaças e a responsabilidade pela implementação dos controlos técnicos de cibersegurança.</w:t>
      </w:r>
    </w:p>
    <w:p>
      <w:pPr>
        <w:spacing w:after="160"/>
      </w:pPr>
      <w:r>
        <w:rPr>
          <w:color w:val="374151"/>
          <w:sz w:val="22"/>
          <w:szCs w:val="22"/>
          <w:rFonts w:ascii="Calibri" w:cs="Calibri" w:eastAsia="Calibri" w:hAnsi="Calibri"/>
        </w:rPr>
        <w:t xml:space="preserve">O plano de formação técnica inclui, anualmente:</w:t>
      </w:r>
    </w:p>
    <w:p>
      <w:pPr>
        <w:pStyle w:val="ListParagraph"/>
        <w:numPr>
          <w:ilvl w:val="0"/>
          <w:numId w:val="1"/>
        </w:numPr>
        <w:spacing w:after="80"/>
      </w:pPr>
      <w:r>
        <w:rPr>
          <w:color w:val="374151"/>
          <w:sz w:val="22"/>
          <w:szCs w:val="22"/>
          <w:rFonts w:ascii="Calibri" w:cs="Calibri" w:eastAsia="Calibri" w:hAnsi="Calibri"/>
        </w:rPr>
        <w:t xml:space="preserve">Formação em resposta a incidentes: metodologias, ferramentas e análise forense digital (8 horas)</w:t>
      </w:r>
    </w:p>
    <w:p>
      <w:pPr>
        <w:pStyle w:val="ListParagraph"/>
        <w:numPr>
          <w:ilvl w:val="0"/>
          <w:numId w:val="1"/>
        </w:numPr>
        <w:spacing w:after="80"/>
      </w:pPr>
      <w:r>
        <w:rPr>
          <w:color w:val="374151"/>
          <w:sz w:val="22"/>
          <w:szCs w:val="22"/>
          <w:rFonts w:ascii="Calibri" w:cs="Calibri" w:eastAsia="Calibri" w:hAnsi="Calibri"/>
        </w:rPr>
        <w:t xml:space="preserve">Gestão de vulnerabilidades: identificação, priorização e remediação (4 horas)</w:t>
      </w:r>
    </w:p>
    <w:p>
      <w:pPr>
        <w:pStyle w:val="ListParagraph"/>
        <w:numPr>
          <w:ilvl w:val="0"/>
          <w:numId w:val="1"/>
        </w:numPr>
        <w:spacing w:after="80"/>
      </w:pPr>
      <w:r>
        <w:rPr>
          <w:color w:val="374151"/>
          <w:sz w:val="22"/>
          <w:szCs w:val="22"/>
          <w:rFonts w:ascii="Calibri" w:cs="Calibri" w:eastAsia="Calibri" w:hAnsi="Calibri"/>
        </w:rPr>
        <w:t xml:space="preserve">Segurança em cloud: configuração segura, controlo de acessos e monitorização (4 horas)</w:t>
      </w:r>
    </w:p>
    <w:p>
      <w:pPr>
        <w:pStyle w:val="ListParagraph"/>
        <w:numPr>
          <w:ilvl w:val="0"/>
          <w:numId w:val="1"/>
        </w:numPr>
        <w:spacing w:after="80"/>
      </w:pPr>
      <w:r>
        <w:rPr>
          <w:color w:val="374151"/>
          <w:sz w:val="22"/>
          <w:szCs w:val="22"/>
          <w:rFonts w:ascii="Calibri" w:cs="Calibri" w:eastAsia="Calibri" w:hAnsi="Calibri"/>
        </w:rPr>
        <w:t xml:space="preserve">Segurança em redes: segmentação, firewall, detecção de intrusão (4 horas)</w:t>
      </w:r>
    </w:p>
    <w:p>
      <w:pPr>
        <w:pStyle w:val="ListParagraph"/>
        <w:numPr>
          <w:ilvl w:val="0"/>
          <w:numId w:val="1"/>
        </w:numPr>
        <w:spacing w:after="80"/>
      </w:pPr>
      <w:r>
        <w:rPr>
          <w:color w:val="374151"/>
          <w:sz w:val="22"/>
          <w:szCs w:val="22"/>
          <w:rFonts w:ascii="Calibri" w:cs="Calibri" w:eastAsia="Calibri" w:hAnsi="Calibri"/>
        </w:rPr>
        <w:t xml:space="preserve">Criptografia aplicada: algoritmos, gestão de chaves e infraestrutura de chave pública (4 horas)</w:t>
      </w:r>
    </w:p>
    <w:p>
      <w:pPr>
        <w:pStyle w:val="ListParagraph"/>
        <w:numPr>
          <w:ilvl w:val="0"/>
          <w:numId w:val="1"/>
        </w:numPr>
        <w:spacing w:after="80"/>
      </w:pPr>
      <w:r>
        <w:rPr>
          <w:color w:val="374151"/>
          <w:sz w:val="22"/>
          <w:szCs w:val="22"/>
          <w:rFonts w:ascii="Calibri" w:cs="Calibri" w:eastAsia="Calibri" w:hAnsi="Calibri"/>
        </w:rPr>
        <w:t xml:space="preserve">Análise de malware e indicadores de compromisso (IOCs) (4 horas)</w:t>
      </w:r>
    </w:p>
    <w:p>
      <w:pPr>
        <w:pStyle w:val="ListParagraph"/>
        <w:numPr>
          <w:ilvl w:val="0"/>
          <w:numId w:val="1"/>
        </w:numPr>
        <w:spacing w:after="80"/>
      </w:pPr>
      <w:r>
        <w:rPr>
          <w:color w:val="374151"/>
          <w:sz w:val="22"/>
          <w:szCs w:val="22"/>
          <w:rFonts w:ascii="Calibri" w:cs="Calibri" w:eastAsia="Calibri" w:hAnsi="Calibri"/>
        </w:rPr>
        <w:t xml:space="preserve">Participação em Capture The Flag (CTF) ou exercícios equivalentes de hacking ético</w:t>
      </w:r>
    </w:p>
    <w:p>
      <w:pPr>
        <w:spacing w:after="160"/>
      </w:pPr>
      <w:r>
        <w:rPr>
          <w:color w:val="374151"/>
          <w:sz w:val="22"/>
          <w:szCs w:val="22"/>
          <w:rFonts w:ascii="Calibri" w:cs="Calibri" w:eastAsia="Calibri" w:hAnsi="Calibri"/>
        </w:rPr>
        <w:t xml:space="preserve">As equipas técnicas são encorajadas a obter certificações profissionais reconhecidas (como CISSP, CISM, CEH, CompTIA Security+, entre outras), com apoio financeiro da organização conforme política de desenvolvimento profissional.</w:t>
      </w:r>
    </w:p>
    <w:p>
      <w:pPr>
        <w:shd w:color="dbeafe" w:val="solid"/>
        <w:spacing w:before="160" w:after="160"/>
        <w:ind w:left="360" w:right="360"/>
      </w:pPr>
      <w:r>
        <w:rPr>
          <w:i/>
          <w:iCs/>
          <w:color w:val="1e3a8a"/>
          <w:sz w:val="22"/>
          <w:szCs w:val="22"/>
          <w:rFonts w:ascii="Calibri" w:cs="Calibri" w:eastAsia="Calibri" w:hAnsi="Calibri"/>
        </w:rPr>
        <w:t xml:space="preserve">Art. 27.º alínea f) do DL 125/2025 — a higiene cibernética e a formação em cibersegurança são medidas mínimas obrigatórias.</w:t>
      </w:r>
    </w:p>
    <w:p>
      <w:pPr>
        <w:pStyle w:val="Heading1"/>
        <w:spacing w:before="400" w:after="200"/>
      </w:pPr>
      <w:r>
        <w:rPr>
          <w:b/>
          <w:bCs/>
          <w:color w:val="1e3a8a"/>
          <w:sz w:val="32"/>
          <w:szCs w:val="32"/>
          <w:rFonts w:ascii="Calibri" w:cs="Calibri" w:eastAsia="Calibri" w:hAnsi="Calibri"/>
        </w:rPr>
        <w:t xml:space="preserve">9. Simulações de phishing</w:t>
      </w:r>
    </w:p>
    <w:p>
      <w:pPr>
        <w:spacing w:after="160"/>
      </w:pPr>
      <w:r>
        <w:rPr>
          <w:color w:val="374151"/>
          <w:sz w:val="22"/>
          <w:szCs w:val="22"/>
          <w:rFonts w:ascii="Calibri" w:cs="Calibri" w:eastAsia="Calibri" w:hAnsi="Calibri"/>
        </w:rPr>
        <w:t xml:space="preserve">As simulações de phishing são um instrumento essencial para avaliar o nível de maturidade dos colaboradores face a este vetor de ataque, que representa uma das principais causas de incidentes de cibersegurança. A organização realiza, no mínimo, quatro simulações por ano.</w:t>
      </w:r>
    </w:p>
    <w:p>
      <w:pPr>
        <w:pStyle w:val="Heading2"/>
        <w:spacing w:before="320" w:after="160"/>
      </w:pPr>
      <w:r>
        <w:rPr>
          <w:b/>
          <w:bCs/>
          <w:color w:val="1e3a8a"/>
          <w:sz w:val="28"/>
          <w:szCs w:val="28"/>
          <w:rFonts w:ascii="Calibri" w:cs="Calibri" w:eastAsia="Calibri" w:hAnsi="Calibri"/>
        </w:rPr>
        <w:t xml:space="preserve">9.1. Metodologia</w:t>
      </w:r>
    </w:p>
    <w:p>
      <w:pPr>
        <w:spacing w:after="160"/>
      </w:pPr>
      <w:r>
        <w:rPr>
          <w:color w:val="374151"/>
          <w:sz w:val="22"/>
          <w:szCs w:val="22"/>
          <w:rFonts w:ascii="Calibri" w:cs="Calibri" w:eastAsia="Calibri" w:hAnsi="Calibri"/>
        </w:rPr>
        <w:t xml:space="preserve">As simulações são conduzidas pelo responsável de cibersegurança ou por um prestador de serviços especializado, sem conhecimento prévio dos colaboradores-alvo. A metodologia inclui:</w:t>
      </w:r>
    </w:p>
    <w:p>
      <w:pPr>
        <w:pStyle w:val="ListParagraph"/>
        <w:numPr>
          <w:ilvl w:val="0"/>
          <w:numId w:val="1"/>
        </w:numPr>
        <w:spacing w:after="80"/>
      </w:pPr>
      <w:r>
        <w:rPr>
          <w:color w:val="374151"/>
          <w:sz w:val="22"/>
          <w:szCs w:val="22"/>
          <w:rFonts w:ascii="Calibri" w:cs="Calibri" w:eastAsia="Calibri" w:hAnsi="Calibri"/>
        </w:rPr>
        <w:t xml:space="preserve">Definição do cenário e do pretexto da simulação (fatura, atualização de senha, comunicação interna, etc.)</w:t>
      </w:r>
    </w:p>
    <w:p>
      <w:pPr>
        <w:pStyle w:val="ListParagraph"/>
        <w:numPr>
          <w:ilvl w:val="0"/>
          <w:numId w:val="1"/>
        </w:numPr>
        <w:spacing w:after="80"/>
      </w:pPr>
      <w:r>
        <w:rPr>
          <w:color w:val="374151"/>
          <w:sz w:val="22"/>
          <w:szCs w:val="22"/>
          <w:rFonts w:ascii="Calibri" w:cs="Calibri" w:eastAsia="Calibri" w:hAnsi="Calibri"/>
        </w:rPr>
        <w:t xml:space="preserve">Criação de mensagem e página de aterragem convincentes e realistas</w:t>
      </w:r>
    </w:p>
    <w:p>
      <w:pPr>
        <w:pStyle w:val="ListParagraph"/>
        <w:numPr>
          <w:ilvl w:val="0"/>
          <w:numId w:val="1"/>
        </w:numPr>
        <w:spacing w:after="80"/>
      </w:pPr>
      <w:r>
        <w:rPr>
          <w:color w:val="374151"/>
          <w:sz w:val="22"/>
          <w:szCs w:val="22"/>
          <w:rFonts w:ascii="Calibri" w:cs="Calibri" w:eastAsia="Calibri" w:hAnsi="Calibri"/>
        </w:rPr>
        <w:t xml:space="preserve">Envio da simulação ao conjunto de colaboradores ou a subgrupos específicos</w:t>
      </w:r>
    </w:p>
    <w:p>
      <w:pPr>
        <w:pStyle w:val="ListParagraph"/>
        <w:numPr>
          <w:ilvl w:val="0"/>
          <w:numId w:val="1"/>
        </w:numPr>
        <w:spacing w:after="80"/>
      </w:pPr>
      <w:r>
        <w:rPr>
          <w:color w:val="374151"/>
          <w:sz w:val="22"/>
          <w:szCs w:val="22"/>
          <w:rFonts w:ascii="Calibri" w:cs="Calibri" w:eastAsia="Calibri" w:hAnsi="Calibri"/>
        </w:rPr>
        <w:t xml:space="preserve">Registo das ações de cada destinatário: abertura, clique em ligação, introdução de credenciais</w:t>
      </w:r>
    </w:p>
    <w:p>
      <w:pPr>
        <w:pStyle w:val="ListParagraph"/>
        <w:numPr>
          <w:ilvl w:val="0"/>
          <w:numId w:val="1"/>
        </w:numPr>
        <w:spacing w:after="80"/>
      </w:pPr>
      <w:r>
        <w:rPr>
          <w:color w:val="374151"/>
          <w:sz w:val="22"/>
          <w:szCs w:val="22"/>
          <w:rFonts w:ascii="Calibri" w:cs="Calibri" w:eastAsia="Calibri" w:hAnsi="Calibri"/>
        </w:rPr>
        <w:t xml:space="preserve">Apresentação imediata de formação de remediação aos colaboradores que "falharam" a simulação</w:t>
      </w:r>
    </w:p>
    <w:p>
      <w:pPr>
        <w:pStyle w:val="ListParagraph"/>
        <w:numPr>
          <w:ilvl w:val="0"/>
          <w:numId w:val="1"/>
        </w:numPr>
        <w:spacing w:after="80"/>
      </w:pPr>
      <w:r>
        <w:rPr>
          <w:color w:val="374151"/>
          <w:sz w:val="22"/>
          <w:szCs w:val="22"/>
          <w:rFonts w:ascii="Calibri" w:cs="Calibri" w:eastAsia="Calibri" w:hAnsi="Calibri"/>
        </w:rPr>
        <w:t xml:space="preserve">Análise agregada dos resultados e identificação de padrões de vulnerabilidade</w:t>
      </w:r>
    </w:p>
    <w:p>
      <w:pPr>
        <w:pStyle w:val="ListParagraph"/>
        <w:numPr>
          <w:ilvl w:val="0"/>
          <w:numId w:val="1"/>
        </w:numPr>
        <w:spacing w:after="80"/>
      </w:pPr>
      <w:r>
        <w:rPr>
          <w:color w:val="374151"/>
          <w:sz w:val="22"/>
          <w:szCs w:val="22"/>
          <w:rFonts w:ascii="Calibri" w:cs="Calibri" w:eastAsia="Calibri" w:hAnsi="Calibri"/>
        </w:rPr>
        <w:t xml:space="preserve">Inclusão dos resultados no relatório de eficácia do programa</w:t>
      </w:r>
    </w:p>
    <w:p>
      <w:pPr>
        <w:pStyle w:val="Heading2"/>
        <w:spacing w:before="320" w:after="160"/>
      </w:pPr>
      <w:r>
        <w:rPr>
          <w:b/>
          <w:bCs/>
          <w:color w:val="1e3a8a"/>
          <w:sz w:val="28"/>
          <w:szCs w:val="28"/>
          <w:rFonts w:ascii="Calibri" w:cs="Calibri" w:eastAsia="Calibri" w:hAnsi="Calibri"/>
        </w:rPr>
        <w:t xml:space="preserve">9.2. Tratamento dos resultados</w:t>
      </w:r>
    </w:p>
    <w:p>
      <w:pPr>
        <w:spacing w:after="160"/>
      </w:pPr>
      <w:r>
        <w:rPr>
          <w:color w:val="374151"/>
          <w:sz w:val="22"/>
          <w:szCs w:val="22"/>
          <w:rFonts w:ascii="Calibri" w:cs="Calibri" w:eastAsia="Calibri" w:hAnsi="Calibri"/>
        </w:rPr>
        <w:t xml:space="preserve">Os resultados das simulações de phishing são tratados de forma agregada para fins de reporte ao órgão de gestão, sem identificação nominal de colaboradores individuais nos relatórios partilhados. A identificação individual é utilizada apenas para efeitos de formação de remediação direcionada e é tratada com a devida confidencialidade. Os colaboradores que repetem o erro em múltiplas simulações são objeto de acompanhamento específico pelo responsável de cibersegurança e pelo responsável de recursos humanos.</w:t>
      </w:r>
    </w:p>
    <w:p>
      <w:pPr>
        <w:shd w:color="dbeafe" w:val="solid"/>
        <w:spacing w:before="160" w:after="160"/>
        <w:ind w:left="360" w:right="360"/>
      </w:pPr>
      <w:r>
        <w:rPr>
          <w:i/>
          <w:iCs/>
          <w:color w:val="1e3a8a"/>
          <w:sz w:val="22"/>
          <w:szCs w:val="22"/>
          <w:rFonts w:ascii="Calibri" w:cs="Calibri" w:eastAsia="Calibri" w:hAnsi="Calibri"/>
        </w:rPr>
        <w:t xml:space="preserve">Art. 27.º alínea f) do DL 125/2025 — as práticas de higiene cibernética incluem a formação prática sobre reconhecimento de ameaças.</w:t>
      </w:r>
    </w:p>
    <w:p>
      <w:pPr>
        <w:pStyle w:val="Heading1"/>
        <w:spacing w:before="400" w:after="200"/>
      </w:pPr>
      <w:r>
        <w:rPr>
          <w:b/>
          <w:bCs/>
          <w:color w:val="1e3a8a"/>
          <w:sz w:val="32"/>
          <w:szCs w:val="32"/>
          <w:rFonts w:ascii="Calibri" w:cs="Calibri" w:eastAsia="Calibri" w:hAnsi="Calibri"/>
        </w:rPr>
        <w:t xml:space="preserve">10. Campanhas de sensibilização</w:t>
      </w:r>
    </w:p>
    <w:p>
      <w:pPr>
        <w:spacing w:after="160"/>
      </w:pPr>
      <w:r>
        <w:rPr>
          <w:color w:val="374151"/>
          <w:sz w:val="22"/>
          <w:szCs w:val="22"/>
          <w:rFonts w:ascii="Calibri" w:cs="Calibri" w:eastAsia="Calibri" w:hAnsi="Calibri"/>
        </w:rPr>
        <w:t xml:space="preserve">As campanhas de sensibilização complementam as ações de formação formal, mantendo a cibersegurança presente no quotidiano de toda a organização através de comunicações regulares, materiais visuais e eventos temáticos.</w:t>
      </w:r>
    </w:p>
    <w:p>
      <w:pPr>
        <w:spacing w:after="160"/>
      </w:pPr>
      <w:r>
        <w:rPr>
          <w:color w:val="374151"/>
          <w:sz w:val="22"/>
          <w:szCs w:val="22"/>
          <w:rFonts w:ascii="Calibri" w:cs="Calibri" w:eastAsia="Calibri" w:hAnsi="Calibri"/>
        </w:rPr>
        <w:t xml:space="preserve">O calendário anual de campanhas de sensibilização inclui:</w:t>
      </w:r>
    </w:p>
    <w:p>
      <w:pPr>
        <w:pStyle w:val="ListParagraph"/>
        <w:numPr>
          <w:ilvl w:val="0"/>
          <w:numId w:val="1"/>
        </w:numPr>
        <w:spacing w:after="80"/>
      </w:pPr>
      <w:r>
        <w:rPr>
          <w:color w:val="374151"/>
          <w:sz w:val="22"/>
          <w:szCs w:val="22"/>
          <w:rFonts w:ascii="Calibri" w:cs="Calibri" w:eastAsia="Calibri" w:hAnsi="Calibri"/>
        </w:rPr>
        <w:t xml:space="preserve">Janeiro: campanha "Novos hábitos digitais" — boas práticas para o novo ano</w:t>
      </w:r>
    </w:p>
    <w:p>
      <w:pPr>
        <w:pStyle w:val="ListParagraph"/>
        <w:numPr>
          <w:ilvl w:val="0"/>
          <w:numId w:val="1"/>
        </w:numPr>
        <w:spacing w:after="80"/>
      </w:pPr>
      <w:r>
        <w:rPr>
          <w:color w:val="374151"/>
          <w:sz w:val="22"/>
          <w:szCs w:val="22"/>
          <w:rFonts w:ascii="Calibri" w:cs="Calibri" w:eastAsia="Calibri" w:hAnsi="Calibri"/>
        </w:rPr>
        <w:t xml:space="preserve">Abril: campanha "Palavra-passe segura" — gestão de credenciais e MFA</w:t>
      </w:r>
    </w:p>
    <w:p>
      <w:pPr>
        <w:pStyle w:val="ListParagraph"/>
        <w:numPr>
          <w:ilvl w:val="0"/>
          <w:numId w:val="1"/>
        </w:numPr>
        <w:spacing w:after="80"/>
      </w:pPr>
      <w:r>
        <w:rPr>
          <w:color w:val="374151"/>
          <w:sz w:val="22"/>
          <w:szCs w:val="22"/>
          <w:rFonts w:ascii="Calibri" w:cs="Calibri" w:eastAsia="Calibri" w:hAnsi="Calibri"/>
        </w:rPr>
        <w:t xml:space="preserve">Julho: campanha "Cuidado em mobilidade" — segurança no trabalho remoto e em viagem</w:t>
      </w:r>
    </w:p>
    <w:p>
      <w:pPr>
        <w:pStyle w:val="ListParagraph"/>
        <w:numPr>
          <w:ilvl w:val="0"/>
          <w:numId w:val="1"/>
        </w:numPr>
        <w:spacing w:after="80"/>
      </w:pPr>
      <w:r>
        <w:rPr>
          <w:color w:val="374151"/>
          <w:sz w:val="22"/>
          <w:szCs w:val="22"/>
          <w:rFonts w:ascii="Calibri" w:cs="Calibri" w:eastAsia="Calibri" w:hAnsi="Calibri"/>
        </w:rPr>
        <w:t xml:space="preserve">Outubro: Mês Europeu da Cibersegurança — semana especial de atividades e comunicações</w:t>
      </w:r>
    </w:p>
    <w:p>
      <w:pPr>
        <w:pStyle w:val="ListParagraph"/>
        <w:numPr>
          <w:ilvl w:val="0"/>
          <w:numId w:val="1"/>
        </w:numPr>
        <w:spacing w:after="80"/>
      </w:pPr>
      <w:r>
        <w:rPr>
          <w:color w:val="374151"/>
          <w:sz w:val="22"/>
          <w:szCs w:val="22"/>
          <w:rFonts w:ascii="Calibri" w:cs="Calibri" w:eastAsia="Calibri" w:hAnsi="Calibri"/>
        </w:rPr>
        <w:t xml:space="preserve">Dezembro: campanha "Golpes de época" — phishing e fraudes sazonais</w:t>
      </w:r>
    </w:p>
    <w:p>
      <w:pPr>
        <w:spacing w:after="160"/>
      </w:pPr>
      <w:r>
        <w:rPr>
          <w:color w:val="374151"/>
          <w:sz w:val="22"/>
          <w:szCs w:val="22"/>
          <w:rFonts w:ascii="Calibri" w:cs="Calibri" w:eastAsia="Calibri" w:hAnsi="Calibri"/>
        </w:rPr>
        <w:t xml:space="preserve">Os materiais de sensibilização incluem infográficos, cartazes digitais para ecrãs internos, newsletters de cibersegurança, avisos de alerta sobre ameaças em curso e quizzes interativos. A criação de materiais pode ser apoiada pelos recursos disponibilizados pelo CNCS.</w:t>
      </w:r>
    </w:p>
    <w:p>
      <w:pPr>
        <w:pStyle w:val="Heading1"/>
        <w:spacing w:before="400" w:after="200"/>
      </w:pPr>
      <w:r>
        <w:rPr>
          <w:b/>
          <w:bCs/>
          <w:color w:val="1e3a8a"/>
          <w:sz w:val="32"/>
          <w:szCs w:val="32"/>
          <w:rFonts w:ascii="Calibri" w:cs="Calibri" w:eastAsia="Calibri" w:hAnsi="Calibri"/>
        </w:rPr>
        <w:t xml:space="preserve">11. Avaliação de eficácia</w:t>
      </w:r>
    </w:p>
    <w:p>
      <w:pPr>
        <w:spacing w:after="160"/>
      </w:pPr>
      <w:r>
        <w:rPr>
          <w:color w:val="374151"/>
          <w:sz w:val="22"/>
          <w:szCs w:val="22"/>
          <w:rFonts w:ascii="Calibri" w:cs="Calibri" w:eastAsia="Calibri" w:hAnsi="Calibri"/>
        </w:rPr>
        <w:t xml:space="preserve">A avaliação da eficácia do programa de formação e sensibilização é fundamental para garantir que as ações realizadas produzem os resultados esperados em termos de redução do risco associado a fatores humanos. A avaliação é realizada em três níveis: reação, aprendizagem e comportamento.</w:t>
      </w:r>
    </w:p>
    <w:p>
      <w:pPr>
        <w:pStyle w:val="Heading2"/>
        <w:spacing w:before="320" w:after="160"/>
      </w:pPr>
      <w:r>
        <w:rPr>
          <w:b/>
          <w:bCs/>
          <w:color w:val="1e3a8a"/>
          <w:sz w:val="28"/>
          <w:szCs w:val="28"/>
          <w:rFonts w:ascii="Calibri" w:cs="Calibri" w:eastAsia="Calibri" w:hAnsi="Calibri"/>
        </w:rPr>
        <w:t xml:space="preserve">11.1. Avaliação de reação</w:t>
      </w:r>
    </w:p>
    <w:p>
      <w:pPr>
        <w:spacing w:after="160"/>
      </w:pPr>
      <w:r>
        <w:rPr>
          <w:color w:val="374151"/>
          <w:sz w:val="22"/>
          <w:szCs w:val="22"/>
          <w:rFonts w:ascii="Calibri" w:cs="Calibri" w:eastAsia="Calibri" w:hAnsi="Calibri"/>
        </w:rPr>
        <w:t xml:space="preserve">No final de cada ação de formação, os participantes preenchem um questionário de satisfação que avalia a qualidade dos conteúdos, a metodologia utilizada, a qualidade do formador e a relevância para as suas funções. A pontuação média de satisfação é um dos KPIs do programa.</w:t>
      </w:r>
    </w:p>
    <w:p>
      <w:pPr>
        <w:pStyle w:val="Heading2"/>
        <w:spacing w:before="320" w:after="160"/>
      </w:pPr>
      <w:r>
        <w:rPr>
          <w:b/>
          <w:bCs/>
          <w:color w:val="1e3a8a"/>
          <w:sz w:val="28"/>
          <w:szCs w:val="28"/>
          <w:rFonts w:ascii="Calibri" w:cs="Calibri" w:eastAsia="Calibri" w:hAnsi="Calibri"/>
        </w:rPr>
        <w:t xml:space="preserve">11.2. Avaliação de aprendizagem</w:t>
      </w:r>
    </w:p>
    <w:p>
      <w:pPr>
        <w:spacing w:after="160"/>
      </w:pPr>
      <w:r>
        <w:rPr>
          <w:color w:val="374151"/>
          <w:sz w:val="22"/>
          <w:szCs w:val="22"/>
          <w:rFonts w:ascii="Calibri" w:cs="Calibri" w:eastAsia="Calibri" w:hAnsi="Calibri"/>
        </w:rPr>
        <w:t xml:space="preserve">As ações de formação incluem uma avaliação final de conhecimentos, com questionário de escolha múltipla ou verdadeiro/falso. A nota mínima de aprovação é 70%. Os participantes que não atinjam a nota mínima repetem a formação no prazo de 30 dias. Os resultados são registados e arquivados como evidência de conformidade.</w:t>
      </w:r>
    </w:p>
    <w:p>
      <w:pPr>
        <w:pStyle w:val="Heading2"/>
        <w:spacing w:before="320" w:after="160"/>
      </w:pPr>
      <w:r>
        <w:rPr>
          <w:b/>
          <w:bCs/>
          <w:color w:val="1e3a8a"/>
          <w:sz w:val="28"/>
          <w:szCs w:val="28"/>
          <w:rFonts w:ascii="Calibri" w:cs="Calibri" w:eastAsia="Calibri" w:hAnsi="Calibri"/>
        </w:rPr>
        <w:t xml:space="preserve">11.3. Avaliação de comportamento</w:t>
      </w:r>
    </w:p>
    <w:p>
      <w:pPr>
        <w:spacing w:after="160"/>
      </w:pPr>
      <w:r>
        <w:rPr>
          <w:color w:val="374151"/>
          <w:sz w:val="22"/>
          <w:szCs w:val="22"/>
          <w:rFonts w:ascii="Calibri" w:cs="Calibri" w:eastAsia="Calibri" w:hAnsi="Calibri"/>
        </w:rPr>
        <w:t xml:space="preserve">O impacto das formações no comportamento real dos colaboradores é avaliado através de:</w:t>
      </w:r>
    </w:p>
    <w:p>
      <w:pPr>
        <w:pStyle w:val="ListParagraph"/>
        <w:numPr>
          <w:ilvl w:val="0"/>
          <w:numId w:val="1"/>
        </w:numPr>
        <w:spacing w:after="80"/>
      </w:pPr>
      <w:r>
        <w:rPr>
          <w:color w:val="374151"/>
          <w:sz w:val="22"/>
          <w:szCs w:val="22"/>
          <w:rFonts w:ascii="Calibri" w:cs="Calibri" w:eastAsia="Calibri" w:hAnsi="Calibri"/>
        </w:rPr>
        <w:t xml:space="preserve">Evolução da taxa de clique nas simulações de phishing ao longo do ano</w:t>
      </w:r>
    </w:p>
    <w:p>
      <w:pPr>
        <w:pStyle w:val="ListParagraph"/>
        <w:numPr>
          <w:ilvl w:val="0"/>
          <w:numId w:val="1"/>
        </w:numPr>
        <w:spacing w:after="80"/>
      </w:pPr>
      <w:r>
        <w:rPr>
          <w:color w:val="374151"/>
          <w:sz w:val="22"/>
          <w:szCs w:val="22"/>
          <w:rFonts w:ascii="Calibri" w:cs="Calibri" w:eastAsia="Calibri" w:hAnsi="Calibri"/>
        </w:rPr>
        <w:t xml:space="preserve">Evolução do número de incidentes reportados voluntariamente pelos colaboradores</w:t>
      </w:r>
    </w:p>
    <w:p>
      <w:pPr>
        <w:pStyle w:val="ListParagraph"/>
        <w:numPr>
          <w:ilvl w:val="0"/>
          <w:numId w:val="1"/>
        </w:numPr>
        <w:spacing w:after="80"/>
      </w:pPr>
      <w:r>
        <w:rPr>
          <w:color w:val="374151"/>
          <w:sz w:val="22"/>
          <w:szCs w:val="22"/>
          <w:rFonts w:ascii="Calibri" w:cs="Calibri" w:eastAsia="Calibri" w:hAnsi="Calibri"/>
        </w:rPr>
        <w:t xml:space="preserve">Evolução da taxa de incumprimento de políticas de segurança detetada em auditorias</w:t>
      </w:r>
    </w:p>
    <w:p>
      <w:pPr>
        <w:pStyle w:val="ListParagraph"/>
        <w:numPr>
          <w:ilvl w:val="0"/>
          <w:numId w:val="1"/>
        </w:numPr>
        <w:spacing w:after="80"/>
      </w:pPr>
      <w:r>
        <w:rPr>
          <w:color w:val="374151"/>
          <w:sz w:val="22"/>
          <w:szCs w:val="22"/>
          <w:rFonts w:ascii="Calibri" w:cs="Calibri" w:eastAsia="Calibri" w:hAnsi="Calibri"/>
        </w:rPr>
        <w:t xml:space="preserve">Resultados dos testes técnicos de penetração com componente de engenharia social</w:t>
      </w:r>
    </w:p>
    <w:p>
      <w:pPr>
        <w:pStyle w:val="Heading1"/>
        <w:spacing w:before="400" w:after="200"/>
      </w:pPr>
      <w:r>
        <w:rPr>
          <w:b/>
          <w:bCs/>
          <w:color w:val="1e3a8a"/>
          <w:sz w:val="32"/>
          <w:szCs w:val="32"/>
          <w:rFonts w:ascii="Calibri" w:cs="Calibri" w:eastAsia="Calibri" w:hAnsi="Calibri"/>
        </w:rPr>
        <w:t xml:space="preserve">12. KPIs e métricas</w:t>
      </w:r>
    </w:p>
    <w:p>
      <w:pPr>
        <w:spacing w:after="160"/>
      </w:pPr>
      <w:r>
        <w:rPr>
          <w:color w:val="374151"/>
          <w:sz w:val="22"/>
          <w:szCs w:val="22"/>
          <w:rFonts w:ascii="Calibri" w:cs="Calibri" w:eastAsia="Calibri" w:hAnsi="Calibri"/>
        </w:rPr>
        <w:t xml:space="preserve">O programa de formação e sensibilização é monitorizado através dos seguintes indicadores-chave de desempenho, reportados trimestralmente ao órgão de gestão:</w:t>
      </w:r>
    </w:p>
    <w:p>
      <w:pPr>
        <w:pStyle w:val="Heading2"/>
        <w:spacing w:before="320" w:after="160"/>
      </w:pPr>
      <w:r>
        <w:rPr>
          <w:b/>
          <w:bCs/>
          <w:color w:val="1e3a8a"/>
          <w:sz w:val="28"/>
          <w:szCs w:val="28"/>
          <w:rFonts w:ascii="Calibri" w:cs="Calibri" w:eastAsia="Calibri" w:hAnsi="Calibri"/>
        </w:rPr>
        <w:t xml:space="preserve">12.1. KPIs de execução</w:t>
      </w:r>
    </w:p>
    <w:p>
      <w:pPr>
        <w:pStyle w:val="ListParagraph"/>
        <w:numPr>
          <w:ilvl w:val="0"/>
          <w:numId w:val="1"/>
        </w:numPr>
        <w:spacing w:after="80"/>
      </w:pPr>
      <w:r>
        <w:rPr>
          <w:color w:val="374151"/>
          <w:sz w:val="22"/>
          <w:szCs w:val="22"/>
          <w:rFonts w:ascii="Calibri" w:cs="Calibri" w:eastAsia="Calibri" w:hAnsi="Calibri"/>
        </w:rPr>
        <w:t xml:space="preserve">Taxa de conclusão da formação obrigatória anual: meta ≥ 95% dos colaboradores</w:t>
      </w:r>
    </w:p>
    <w:p>
      <w:pPr>
        <w:pStyle w:val="ListParagraph"/>
        <w:numPr>
          <w:ilvl w:val="0"/>
          <w:numId w:val="1"/>
        </w:numPr>
        <w:spacing w:after="80"/>
      </w:pPr>
      <w:r>
        <w:rPr>
          <w:color w:val="374151"/>
          <w:sz w:val="22"/>
          <w:szCs w:val="22"/>
          <w:rFonts w:ascii="Calibri" w:cs="Calibri" w:eastAsia="Calibri" w:hAnsi="Calibri"/>
        </w:rPr>
        <w:t xml:space="preserve">Taxa de conclusão da formação de integração antes do primeiro acesso: meta 100%</w:t>
      </w:r>
    </w:p>
    <w:p>
      <w:pPr>
        <w:pStyle w:val="ListParagraph"/>
        <w:numPr>
          <w:ilvl w:val="0"/>
          <w:numId w:val="1"/>
        </w:numPr>
        <w:spacing w:after="80"/>
      </w:pPr>
      <w:r>
        <w:rPr>
          <w:color w:val="374151"/>
          <w:sz w:val="22"/>
          <w:szCs w:val="22"/>
          <w:rFonts w:ascii="Calibri" w:cs="Calibri" w:eastAsia="Calibri" w:hAnsi="Calibri"/>
        </w:rPr>
        <w:t xml:space="preserve">Taxa de participação do órgão de gestão na formação anual: meta 100%</w:t>
      </w:r>
    </w:p>
    <w:p>
      <w:pPr>
        <w:pStyle w:val="ListParagraph"/>
        <w:numPr>
          <w:ilvl w:val="0"/>
          <w:numId w:val="1"/>
        </w:numPr>
        <w:spacing w:after="80"/>
      </w:pPr>
      <w:r>
        <w:rPr>
          <w:color w:val="374151"/>
          <w:sz w:val="22"/>
          <w:szCs w:val="22"/>
          <w:rFonts w:ascii="Calibri" w:cs="Calibri" w:eastAsia="Calibri" w:hAnsi="Calibri"/>
        </w:rPr>
        <w:t xml:space="preserve">Número de simulações de phishing realizadas: meta ≥ 4 por ano</w:t>
      </w:r>
    </w:p>
    <w:p>
      <w:pPr>
        <w:pStyle w:val="ListParagraph"/>
        <w:numPr>
          <w:ilvl w:val="0"/>
          <w:numId w:val="1"/>
        </w:numPr>
        <w:spacing w:after="80"/>
      </w:pPr>
      <w:r>
        <w:rPr>
          <w:color w:val="374151"/>
          <w:sz w:val="22"/>
          <w:szCs w:val="22"/>
          <w:rFonts w:ascii="Calibri" w:cs="Calibri" w:eastAsia="Calibri" w:hAnsi="Calibri"/>
        </w:rPr>
        <w:t xml:space="preserve">Número de campanhas de sensibilização executadas: meta ≥ 5 por ano</w:t>
      </w:r>
    </w:p>
    <w:p>
      <w:pPr>
        <w:pStyle w:val="ListParagraph"/>
        <w:numPr>
          <w:ilvl w:val="0"/>
          <w:numId w:val="1"/>
        </w:numPr>
        <w:spacing w:after="80"/>
      </w:pPr>
      <w:r>
        <w:rPr>
          <w:color w:val="374151"/>
          <w:sz w:val="22"/>
          <w:szCs w:val="22"/>
          <w:rFonts w:ascii="Calibri" w:cs="Calibri" w:eastAsia="Calibri" w:hAnsi="Calibri"/>
        </w:rPr>
        <w:t xml:space="preserve">Número de horas de formação técnica por elemento das equipas de TI/segurança: meta ≥ 24 horas por ano</w:t>
      </w:r>
    </w:p>
    <w:p>
      <w:pPr>
        <w:pStyle w:val="Heading2"/>
        <w:spacing w:before="320" w:after="160"/>
      </w:pPr>
      <w:r>
        <w:rPr>
          <w:b/>
          <w:bCs/>
          <w:color w:val="1e3a8a"/>
          <w:sz w:val="28"/>
          <w:szCs w:val="28"/>
          <w:rFonts w:ascii="Calibri" w:cs="Calibri" w:eastAsia="Calibri" w:hAnsi="Calibri"/>
        </w:rPr>
        <w:t xml:space="preserve">12.2. KPIs de eficácia</w:t>
      </w:r>
    </w:p>
    <w:p>
      <w:pPr>
        <w:pStyle w:val="ListParagraph"/>
        <w:numPr>
          <w:ilvl w:val="0"/>
          <w:numId w:val="1"/>
        </w:numPr>
        <w:spacing w:after="80"/>
      </w:pPr>
      <w:r>
        <w:rPr>
          <w:color w:val="374151"/>
          <w:sz w:val="22"/>
          <w:szCs w:val="22"/>
          <w:rFonts w:ascii="Calibri" w:cs="Calibri" w:eastAsia="Calibri" w:hAnsi="Calibri"/>
        </w:rPr>
        <w:t xml:space="preserve">Taxa de clique em simulações de phishing: meta ≤ 5% no último trimestre do ano</w:t>
      </w:r>
    </w:p>
    <w:p>
      <w:pPr>
        <w:pStyle w:val="ListParagraph"/>
        <w:numPr>
          <w:ilvl w:val="0"/>
          <w:numId w:val="1"/>
        </w:numPr>
        <w:spacing w:after="80"/>
      </w:pPr>
      <w:r>
        <w:rPr>
          <w:color w:val="374151"/>
          <w:sz w:val="22"/>
          <w:szCs w:val="22"/>
          <w:rFonts w:ascii="Calibri" w:cs="Calibri" w:eastAsia="Calibri" w:hAnsi="Calibri"/>
        </w:rPr>
        <w:t xml:space="preserve">Taxa de aprovação nas avaliações de conhecimentos: meta ≥ 90% na primeira tentativa</w:t>
      </w:r>
    </w:p>
    <w:p>
      <w:pPr>
        <w:pStyle w:val="ListParagraph"/>
        <w:numPr>
          <w:ilvl w:val="0"/>
          <w:numId w:val="1"/>
        </w:numPr>
        <w:spacing w:after="80"/>
      </w:pPr>
      <w:r>
        <w:rPr>
          <w:color w:val="374151"/>
          <w:sz w:val="22"/>
          <w:szCs w:val="22"/>
          <w:rFonts w:ascii="Calibri" w:cs="Calibri" w:eastAsia="Calibri" w:hAnsi="Calibri"/>
        </w:rPr>
        <w:t xml:space="preserve">Satisfação média com as formações: meta ≥ 4,0 em 5,0</w:t>
      </w:r>
    </w:p>
    <w:p>
      <w:pPr>
        <w:pStyle w:val="ListParagraph"/>
        <w:numPr>
          <w:ilvl w:val="0"/>
          <w:numId w:val="1"/>
        </w:numPr>
        <w:spacing w:after="80"/>
      </w:pPr>
      <w:r>
        <w:rPr>
          <w:color w:val="374151"/>
          <w:sz w:val="22"/>
          <w:szCs w:val="22"/>
          <w:rFonts w:ascii="Calibri" w:cs="Calibri" w:eastAsia="Calibri" w:hAnsi="Calibri"/>
        </w:rPr>
        <w:t xml:space="preserve">Evolução do número de incidentes reportados voluntariamente: tendência crescente (melhoria da cultura)</w:t>
      </w:r>
    </w:p>
    <w:p>
      <w:pPr>
        <w:pStyle w:val="ListParagraph"/>
        <w:numPr>
          <w:ilvl w:val="0"/>
          <w:numId w:val="1"/>
        </w:numPr>
        <w:spacing w:after="80"/>
      </w:pPr>
      <w:r>
        <w:rPr>
          <w:color w:val="374151"/>
          <w:sz w:val="22"/>
          <w:szCs w:val="22"/>
          <w:rFonts w:ascii="Calibri" w:cs="Calibri" w:eastAsia="Calibri" w:hAnsi="Calibri"/>
        </w:rPr>
        <w:t xml:space="preserve">Percentagem de incidentes com fator humano identificado: tendência decrescente</w:t>
      </w:r>
    </w:p>
    <w:p>
      <w:pPr>
        <w:shd w:color="dbeafe" w:val="solid"/>
        <w:spacing w:before="160" w:after="160"/>
        <w:ind w:left="360" w:right="360"/>
      </w:pPr>
      <w:r>
        <w:rPr>
          <w:i/>
          <w:iCs/>
          <w:color w:val="1e3a8a"/>
          <w:sz w:val="22"/>
          <w:szCs w:val="22"/>
          <w:rFonts w:ascii="Calibri" w:cs="Calibri" w:eastAsia="Calibri" w:hAnsi="Calibri"/>
        </w:rPr>
        <w:t xml:space="preserve">Art. 27.º alínea e) do DL 125/2025 — obrigação de avaliar periodicamente a eficácia das medidas de cibersegurança, incluindo as de formação e sensibilização.</w:t>
      </w:r>
    </w:p>
    <w:p>
      <w:pPr>
        <w:pStyle w:val="Heading1"/>
        <w:spacing w:before="400" w:after="200"/>
      </w:pPr>
      <w:r>
        <w:rPr>
          <w:b/>
          <w:bCs/>
          <w:color w:val="1e3a8a"/>
          <w:sz w:val="32"/>
          <w:szCs w:val="32"/>
          <w:rFonts w:ascii="Calibri" w:cs="Calibri" w:eastAsia="Calibri" w:hAnsi="Calibri"/>
        </w:rPr>
        <w:t xml:space="preserve">13. Documentação e registos</w:t>
      </w:r>
    </w:p>
    <w:p>
      <w:pPr>
        <w:spacing w:after="160"/>
      </w:pPr>
      <w:r>
        <w:rPr>
          <w:color w:val="374151"/>
          <w:sz w:val="22"/>
          <w:szCs w:val="22"/>
          <w:rFonts w:ascii="Calibri" w:cs="Calibri" w:eastAsia="Calibri" w:hAnsi="Calibri"/>
        </w:rPr>
        <w:t xml:space="preserve">A organização mantém documentação completa de todas as atividades de formação e sensibilização, como evidência do cumprimento das obrigações legais e para suporte a auditorias internas e externas.</w:t>
      </w:r>
    </w:p>
    <w:p>
      <w:pPr>
        <w:spacing w:after="160"/>
      </w:pPr>
      <w:r>
        <w:rPr>
          <w:color w:val="374151"/>
          <w:sz w:val="22"/>
          <w:szCs w:val="22"/>
          <w:rFonts w:ascii="Calibri" w:cs="Calibri" w:eastAsia="Calibri" w:hAnsi="Calibri"/>
        </w:rPr>
        <w:t xml:space="preserve">Os registos a manter incluem:</w:t>
      </w:r>
    </w:p>
    <w:p>
      <w:pPr>
        <w:pStyle w:val="ListParagraph"/>
        <w:numPr>
          <w:ilvl w:val="0"/>
          <w:numId w:val="1"/>
        </w:numPr>
        <w:spacing w:after="80"/>
      </w:pPr>
      <w:r>
        <w:rPr>
          <w:color w:val="374151"/>
          <w:sz w:val="22"/>
          <w:szCs w:val="22"/>
          <w:rFonts w:ascii="Calibri" w:cs="Calibri" w:eastAsia="Calibri" w:hAnsi="Calibri"/>
        </w:rPr>
        <w:t xml:space="preserve">Lista de presença ou log de conclusão para cada ação de formação, com data, duração e identificação dos participantes</w:t>
      </w:r>
    </w:p>
    <w:p>
      <w:pPr>
        <w:pStyle w:val="ListParagraph"/>
        <w:numPr>
          <w:ilvl w:val="0"/>
          <w:numId w:val="1"/>
        </w:numPr>
        <w:spacing w:after="80"/>
      </w:pPr>
      <w:r>
        <w:rPr>
          <w:color w:val="374151"/>
          <w:sz w:val="22"/>
          <w:szCs w:val="22"/>
          <w:rFonts w:ascii="Calibri" w:cs="Calibri" w:eastAsia="Calibri" w:hAnsi="Calibri"/>
        </w:rPr>
        <w:t xml:space="preserve">Resultados individuais das avaliações de conhecimentos</w:t>
      </w:r>
    </w:p>
    <w:p>
      <w:pPr>
        <w:pStyle w:val="ListParagraph"/>
        <w:numPr>
          <w:ilvl w:val="0"/>
          <w:numId w:val="1"/>
        </w:numPr>
        <w:spacing w:after="80"/>
      </w:pPr>
      <w:r>
        <w:rPr>
          <w:color w:val="374151"/>
          <w:sz w:val="22"/>
          <w:szCs w:val="22"/>
          <w:rFonts w:ascii="Calibri" w:cs="Calibri" w:eastAsia="Calibri" w:hAnsi="Calibri"/>
        </w:rPr>
        <w:t xml:space="preserve">Relatórios de simulações de phishing (resultados agregados e individuais)</w:t>
      </w:r>
    </w:p>
    <w:p>
      <w:pPr>
        <w:pStyle w:val="ListParagraph"/>
        <w:numPr>
          <w:ilvl w:val="0"/>
          <w:numId w:val="1"/>
        </w:numPr>
        <w:spacing w:after="80"/>
      </w:pPr>
      <w:r>
        <w:rPr>
          <w:color w:val="374151"/>
          <w:sz w:val="22"/>
          <w:szCs w:val="22"/>
          <w:rFonts w:ascii="Calibri" w:cs="Calibri" w:eastAsia="Calibri" w:hAnsi="Calibri"/>
        </w:rPr>
        <w:t xml:space="preserve">Questionários de satisfação preenchidos (agregados por ação)</w:t>
      </w:r>
    </w:p>
    <w:p>
      <w:pPr>
        <w:pStyle w:val="ListParagraph"/>
        <w:numPr>
          <w:ilvl w:val="0"/>
          <w:numId w:val="1"/>
        </w:numPr>
        <w:spacing w:after="80"/>
      </w:pPr>
      <w:r>
        <w:rPr>
          <w:color w:val="374151"/>
          <w:sz w:val="22"/>
          <w:szCs w:val="22"/>
          <w:rFonts w:ascii="Calibri" w:cs="Calibri" w:eastAsia="Calibri" w:hAnsi="Calibri"/>
        </w:rPr>
        <w:t xml:space="preserve">Relatórios trimestrais e anuais do programa de formação</w:t>
      </w:r>
    </w:p>
    <w:p>
      <w:pPr>
        <w:pStyle w:val="ListParagraph"/>
        <w:numPr>
          <w:ilvl w:val="0"/>
          <w:numId w:val="1"/>
        </w:numPr>
        <w:spacing w:after="80"/>
      </w:pPr>
      <w:r>
        <w:rPr>
          <w:color w:val="374151"/>
          <w:sz w:val="22"/>
          <w:szCs w:val="22"/>
          <w:rFonts w:ascii="Calibri" w:cs="Calibri" w:eastAsia="Calibri" w:hAnsi="Calibri"/>
        </w:rPr>
        <w:t xml:space="preserve">Planos de formação anuais aprovados pelo órgão de gestão</w:t>
      </w:r>
    </w:p>
    <w:p>
      <w:pPr>
        <w:pStyle w:val="ListParagraph"/>
        <w:numPr>
          <w:ilvl w:val="0"/>
          <w:numId w:val="1"/>
        </w:numPr>
        <w:spacing w:after="80"/>
      </w:pPr>
      <w:r>
        <w:rPr>
          <w:color w:val="374151"/>
          <w:sz w:val="22"/>
          <w:szCs w:val="22"/>
          <w:rFonts w:ascii="Calibri" w:cs="Calibri" w:eastAsia="Calibri" w:hAnsi="Calibri"/>
        </w:rPr>
        <w:t xml:space="preserve">Certificados de formação externos obtidos por colaboradores</w:t>
      </w:r>
    </w:p>
    <w:p>
      <w:pPr>
        <w:pStyle w:val="ListParagraph"/>
        <w:numPr>
          <w:ilvl w:val="0"/>
          <w:numId w:val="1"/>
        </w:numPr>
        <w:spacing w:after="80"/>
      </w:pPr>
      <w:r>
        <w:rPr>
          <w:color w:val="374151"/>
          <w:sz w:val="22"/>
          <w:szCs w:val="22"/>
          <w:rFonts w:ascii="Calibri" w:cs="Calibri" w:eastAsia="Calibri" w:hAnsi="Calibri"/>
        </w:rPr>
        <w:t xml:space="preserve">Registos de comunicações e materiais das campanhas de sensibilização</w:t>
      </w:r>
    </w:p>
    <w:p>
      <w:pPr>
        <w:spacing w:after="160"/>
      </w:pPr>
      <w:r>
        <w:rPr>
          <w:color w:val="374151"/>
          <w:sz w:val="22"/>
          <w:szCs w:val="22"/>
          <w:rFonts w:ascii="Calibri" w:cs="Calibri" w:eastAsia="Calibri" w:hAnsi="Calibri"/>
        </w:rPr>
        <w:t xml:space="preserve">Todos os registos são conservados por um período mínimo de cinco anos, em suporte digital seguro com controlo de acesso adequado. Os registos são disponibilizados ao CNCS mediante solicitação, nos termos do Art. 30.º do DL 125/2025.</w:t>
      </w:r>
    </w:p>
    <w:p>
      <w:pPr>
        <w:shd w:color="dbeafe" w:val="solid"/>
        <w:spacing w:before="160" w:after="160"/>
        <w:ind w:left="360" w:right="360"/>
      </w:pPr>
      <w:r>
        <w:rPr>
          <w:i/>
          <w:iCs/>
          <w:color w:val="1e3a8a"/>
          <w:sz w:val="22"/>
          <w:szCs w:val="22"/>
          <w:rFonts w:ascii="Calibri" w:cs="Calibri" w:eastAsia="Calibri" w:hAnsi="Calibri"/>
        </w:rPr>
        <w:t xml:space="preserve">Art. 30.º do DL 125/2025 — as entidades devem manter registos e disponibilizá-los ao CNCS para fins de supervisão e fiscalização.</w:t>
      </w:r>
    </w:p>
    <w:p>
      <w:pPr>
        <w:pStyle w:val="Heading1"/>
        <w:spacing w:before="400" w:after="200"/>
      </w:pPr>
      <w:r>
        <w:rPr>
          <w:b/>
          <w:bCs/>
          <w:color w:val="1e3a8a"/>
          <w:sz w:val="32"/>
          <w:szCs w:val="32"/>
          <w:rFonts w:ascii="Calibri" w:cs="Calibri" w:eastAsia="Calibri" w:hAnsi="Calibri"/>
        </w:rPr>
        <w:t xml:space="preserve">14. Responsabilidades</w:t>
      </w:r>
    </w:p>
    <w:p>
      <w:pPr>
        <w:spacing w:after="160"/>
      </w:pPr>
      <w:r>
        <w:rPr>
          <w:color w:val="374151"/>
          <w:sz w:val="22"/>
          <w:szCs w:val="22"/>
          <w:rFonts w:ascii="Calibri" w:cs="Calibri" w:eastAsia="Calibri" w:hAnsi="Calibri"/>
        </w:rPr>
        <w:t xml:space="preserve">A implementação eficaz deste programa requer a participação ativa de múltiplos intervenientes, com papéis e responsabilidades claramente definidos.</w:t>
      </w:r>
    </w:p>
    <w:p>
      <w:pPr>
        <w:pStyle w:val="Heading2"/>
        <w:spacing w:before="320" w:after="160"/>
      </w:pPr>
      <w:r>
        <w:rPr>
          <w:b/>
          <w:bCs/>
          <w:color w:val="1e3a8a"/>
          <w:sz w:val="28"/>
          <w:szCs w:val="28"/>
          <w:rFonts w:ascii="Calibri" w:cs="Calibri" w:eastAsia="Calibri" w:hAnsi="Calibri"/>
        </w:rPr>
        <w:t xml:space="preserve">14.1. Órgão de gestão</w:t>
      </w:r>
    </w:p>
    <w:p>
      <w:pPr>
        <w:pStyle w:val="ListParagraph"/>
        <w:numPr>
          <w:ilvl w:val="0"/>
          <w:numId w:val="1"/>
        </w:numPr>
        <w:spacing w:after="80"/>
      </w:pPr>
      <w:r>
        <w:rPr>
          <w:color w:val="374151"/>
          <w:sz w:val="22"/>
          <w:szCs w:val="22"/>
          <w:rFonts w:ascii="Calibri" w:cs="Calibri" w:eastAsia="Calibri" w:hAnsi="Calibri"/>
        </w:rPr>
        <w:t xml:space="preserve">Aprovar o programa anual de formação e os recursos alocados à sua execução</w:t>
      </w:r>
    </w:p>
    <w:p>
      <w:pPr>
        <w:pStyle w:val="ListParagraph"/>
        <w:numPr>
          <w:ilvl w:val="0"/>
          <w:numId w:val="1"/>
        </w:numPr>
        <w:spacing w:after="80"/>
      </w:pPr>
      <w:r>
        <w:rPr>
          <w:color w:val="374151"/>
          <w:sz w:val="22"/>
          <w:szCs w:val="22"/>
          <w:rFonts w:ascii="Calibri" w:cs="Calibri" w:eastAsia="Calibri" w:hAnsi="Calibri"/>
        </w:rPr>
        <w:t xml:space="preserve">Frequentar a formação anual obrigatória em cibersegurança (Art. 25.º do DL 125/2025)</w:t>
      </w:r>
    </w:p>
    <w:p>
      <w:pPr>
        <w:pStyle w:val="ListParagraph"/>
        <w:numPr>
          <w:ilvl w:val="0"/>
          <w:numId w:val="1"/>
        </w:numPr>
        <w:spacing w:after="80"/>
      </w:pPr>
      <w:r>
        <w:rPr>
          <w:color w:val="374151"/>
          <w:sz w:val="22"/>
          <w:szCs w:val="22"/>
          <w:rFonts w:ascii="Calibri" w:cs="Calibri" w:eastAsia="Calibri" w:hAnsi="Calibri"/>
        </w:rPr>
        <w:t xml:space="preserve">Rever os relatórios trimestrais de execução e eficácia do programa</w:t>
      </w:r>
    </w:p>
    <w:p>
      <w:pPr>
        <w:pStyle w:val="ListParagraph"/>
        <w:numPr>
          <w:ilvl w:val="0"/>
          <w:numId w:val="1"/>
        </w:numPr>
        <w:spacing w:after="80"/>
      </w:pPr>
      <w:r>
        <w:rPr>
          <w:color w:val="374151"/>
          <w:sz w:val="22"/>
          <w:szCs w:val="22"/>
          <w:rFonts w:ascii="Calibri" w:cs="Calibri" w:eastAsia="Calibri" w:hAnsi="Calibri"/>
        </w:rPr>
        <w:t xml:space="preserve">Promover uma cultura de cibersegurança e liderar pelo exemplo na participação em iniciativas</w:t>
      </w:r>
    </w:p>
    <w:p>
      <w:pPr>
        <w:pStyle w:val="ListParagraph"/>
        <w:numPr>
          <w:ilvl w:val="0"/>
          <w:numId w:val="1"/>
        </w:numPr>
        <w:spacing w:after="80"/>
      </w:pPr>
      <w:r>
        <w:rPr>
          <w:color w:val="374151"/>
          <w:sz w:val="22"/>
          <w:szCs w:val="22"/>
          <w:rFonts w:ascii="Calibri" w:cs="Calibri" w:eastAsia="Calibri" w:hAnsi="Calibri"/>
        </w:rPr>
        <w:t xml:space="preserve">Aprovar medidas corretivas quando os KPIs não atingem as metas definidas</w:t>
      </w:r>
    </w:p>
    <w:p>
      <w:pPr>
        <w:pStyle w:val="Heading2"/>
        <w:spacing w:before="320" w:after="160"/>
      </w:pPr>
      <w:r>
        <w:rPr>
          <w:b/>
          <w:bCs/>
          <w:color w:val="1e3a8a"/>
          <w:sz w:val="28"/>
          <w:szCs w:val="28"/>
          <w:rFonts w:ascii="Calibri" w:cs="Calibri" w:eastAsia="Calibri" w:hAnsi="Calibri"/>
        </w:rPr>
        <w:t xml:space="preserve">14.2. Responsável de cibersegurança</w:t>
      </w:r>
    </w:p>
    <w:p>
      <w:pPr>
        <w:pStyle w:val="ListParagraph"/>
        <w:numPr>
          <w:ilvl w:val="0"/>
          <w:numId w:val="1"/>
        </w:numPr>
        <w:spacing w:after="80"/>
      </w:pPr>
      <w:r>
        <w:rPr>
          <w:color w:val="374151"/>
          <w:sz w:val="22"/>
          <w:szCs w:val="22"/>
          <w:rFonts w:ascii="Calibri" w:cs="Calibri" w:eastAsia="Calibri" w:hAnsi="Calibri"/>
        </w:rPr>
        <w:t xml:space="preserve">Elaborar e atualizar anualmente o plano de formação e sensibilização</w:t>
      </w:r>
    </w:p>
    <w:p>
      <w:pPr>
        <w:pStyle w:val="ListParagraph"/>
        <w:numPr>
          <w:ilvl w:val="0"/>
          <w:numId w:val="1"/>
        </w:numPr>
        <w:spacing w:after="80"/>
      </w:pPr>
      <w:r>
        <w:rPr>
          <w:color w:val="374151"/>
          <w:sz w:val="22"/>
          <w:szCs w:val="22"/>
          <w:rFonts w:ascii="Calibri" w:cs="Calibri" w:eastAsia="Calibri" w:hAnsi="Calibri"/>
        </w:rPr>
        <w:t xml:space="preserve">Coordenar a execução de todas as ações de formação e campanhas de sensibilização</w:t>
      </w:r>
    </w:p>
    <w:p>
      <w:pPr>
        <w:pStyle w:val="ListParagraph"/>
        <w:numPr>
          <w:ilvl w:val="0"/>
          <w:numId w:val="1"/>
        </w:numPr>
        <w:spacing w:after="80"/>
      </w:pPr>
      <w:r>
        <w:rPr>
          <w:color w:val="374151"/>
          <w:sz w:val="22"/>
          <w:szCs w:val="22"/>
          <w:rFonts w:ascii="Calibri" w:cs="Calibri" w:eastAsia="Calibri" w:hAnsi="Calibri"/>
        </w:rPr>
        <w:t xml:space="preserve">Conduzir ou supervisionar as simulações de phishing</w:t>
      </w:r>
    </w:p>
    <w:p>
      <w:pPr>
        <w:pStyle w:val="ListParagraph"/>
        <w:numPr>
          <w:ilvl w:val="0"/>
          <w:numId w:val="1"/>
        </w:numPr>
        <w:spacing w:after="80"/>
      </w:pPr>
      <w:r>
        <w:rPr>
          <w:color w:val="374151"/>
          <w:sz w:val="22"/>
          <w:szCs w:val="22"/>
          <w:rFonts w:ascii="Calibri" w:cs="Calibri" w:eastAsia="Calibri" w:hAnsi="Calibri"/>
        </w:rPr>
        <w:t xml:space="preserve">Monitorizar e reportar os KPIs do programa trimestralmente ao órgão de gestão</w:t>
      </w:r>
    </w:p>
    <w:p>
      <w:pPr>
        <w:pStyle w:val="ListParagraph"/>
        <w:numPr>
          <w:ilvl w:val="0"/>
          <w:numId w:val="1"/>
        </w:numPr>
        <w:spacing w:after="80"/>
      </w:pPr>
      <w:r>
        <w:rPr>
          <w:color w:val="374151"/>
          <w:sz w:val="22"/>
          <w:szCs w:val="22"/>
          <w:rFonts w:ascii="Calibri" w:cs="Calibri" w:eastAsia="Calibri" w:hAnsi="Calibri"/>
        </w:rPr>
        <w:t xml:space="preserve">Identificar necessidades de formação adicional com base em incidentes e avaliações de risco</w:t>
      </w:r>
    </w:p>
    <w:p>
      <w:pPr>
        <w:pStyle w:val="ListParagraph"/>
        <w:numPr>
          <w:ilvl w:val="0"/>
          <w:numId w:val="1"/>
        </w:numPr>
        <w:spacing w:after="80"/>
      </w:pPr>
      <w:r>
        <w:rPr>
          <w:color w:val="374151"/>
          <w:sz w:val="22"/>
          <w:szCs w:val="22"/>
          <w:rFonts w:ascii="Calibri" w:cs="Calibri" w:eastAsia="Calibri" w:hAnsi="Calibri"/>
        </w:rPr>
        <w:t xml:space="preserve">Gerir os contratos com fornecedores externos de formação e avaliação</w:t>
      </w:r>
    </w:p>
    <w:p>
      <w:pPr>
        <w:pStyle w:val="Heading2"/>
        <w:spacing w:before="320" w:after="160"/>
      </w:pPr>
      <w:r>
        <w:rPr>
          <w:b/>
          <w:bCs/>
          <w:color w:val="1e3a8a"/>
          <w:sz w:val="28"/>
          <w:szCs w:val="28"/>
          <w:rFonts w:ascii="Calibri" w:cs="Calibri" w:eastAsia="Calibri" w:hAnsi="Calibri"/>
        </w:rPr>
        <w:t xml:space="preserve">14.3. Recursos humanos</w:t>
      </w:r>
    </w:p>
    <w:p>
      <w:pPr>
        <w:pStyle w:val="ListParagraph"/>
        <w:numPr>
          <w:ilvl w:val="0"/>
          <w:numId w:val="1"/>
        </w:numPr>
        <w:spacing w:after="80"/>
      </w:pPr>
      <w:r>
        <w:rPr>
          <w:color w:val="374151"/>
          <w:sz w:val="22"/>
          <w:szCs w:val="22"/>
          <w:rFonts w:ascii="Calibri" w:cs="Calibri" w:eastAsia="Calibri" w:hAnsi="Calibri"/>
        </w:rPr>
        <w:t xml:space="preserve">Assegurar que a formação de integração é concluída antes do acesso pleno aos sistemas</w:t>
      </w:r>
    </w:p>
    <w:p>
      <w:pPr>
        <w:pStyle w:val="ListParagraph"/>
        <w:numPr>
          <w:ilvl w:val="0"/>
          <w:numId w:val="1"/>
        </w:numPr>
        <w:spacing w:after="80"/>
      </w:pPr>
      <w:r>
        <w:rPr>
          <w:color w:val="374151"/>
          <w:sz w:val="22"/>
          <w:szCs w:val="22"/>
          <w:rFonts w:ascii="Calibri" w:cs="Calibri" w:eastAsia="Calibri" w:hAnsi="Calibri"/>
        </w:rPr>
        <w:t xml:space="preserve">Notificar o responsável de cibersegurança de novas contratações com antecedência suficiente</w:t>
      </w:r>
    </w:p>
    <w:p>
      <w:pPr>
        <w:pStyle w:val="ListParagraph"/>
        <w:numPr>
          <w:ilvl w:val="0"/>
          <w:numId w:val="1"/>
        </w:numPr>
        <w:spacing w:after="80"/>
      </w:pPr>
      <w:r>
        <w:rPr>
          <w:color w:val="374151"/>
          <w:sz w:val="22"/>
          <w:szCs w:val="22"/>
          <w:rFonts w:ascii="Calibri" w:cs="Calibri" w:eastAsia="Calibri" w:hAnsi="Calibri"/>
        </w:rPr>
        <w:t xml:space="preserve">Monitorizar e comunicar as taxas de conclusão da formação obrigatória</w:t>
      </w:r>
    </w:p>
    <w:p>
      <w:pPr>
        <w:pStyle w:val="ListParagraph"/>
        <w:numPr>
          <w:ilvl w:val="0"/>
          <w:numId w:val="1"/>
        </w:numPr>
        <w:spacing w:after="80"/>
      </w:pPr>
      <w:r>
        <w:rPr>
          <w:color w:val="374151"/>
          <w:sz w:val="22"/>
          <w:szCs w:val="22"/>
          <w:rFonts w:ascii="Calibri" w:cs="Calibri" w:eastAsia="Calibri" w:hAnsi="Calibri"/>
        </w:rPr>
        <w:t xml:space="preserve">Incluir os requisitos de formação em cibersegurança nos processos de integração e desligamento</w:t>
      </w:r>
    </w:p>
    <w:p>
      <w:pPr>
        <w:pStyle w:val="Heading2"/>
        <w:spacing w:before="320" w:after="160"/>
      </w:pPr>
      <w:r>
        <w:rPr>
          <w:b/>
          <w:bCs/>
          <w:color w:val="1e3a8a"/>
          <w:sz w:val="28"/>
          <w:szCs w:val="28"/>
          <w:rFonts w:ascii="Calibri" w:cs="Calibri" w:eastAsia="Calibri" w:hAnsi="Calibri"/>
        </w:rPr>
        <w:t xml:space="preserve">14.4. Responsáveis de departamento</w:t>
      </w:r>
    </w:p>
    <w:p>
      <w:pPr>
        <w:pStyle w:val="ListParagraph"/>
        <w:numPr>
          <w:ilvl w:val="0"/>
          <w:numId w:val="1"/>
        </w:numPr>
        <w:spacing w:after="80"/>
      </w:pPr>
      <w:r>
        <w:rPr>
          <w:color w:val="374151"/>
          <w:sz w:val="22"/>
          <w:szCs w:val="22"/>
          <w:rFonts w:ascii="Calibri" w:cs="Calibri" w:eastAsia="Calibri" w:hAnsi="Calibri"/>
        </w:rPr>
        <w:t xml:space="preserve">Garantir que os colaboradores da sua área concluem as formações obrigatórias nos prazos definidos</w:t>
      </w:r>
    </w:p>
    <w:p>
      <w:pPr>
        <w:pStyle w:val="ListParagraph"/>
        <w:numPr>
          <w:ilvl w:val="0"/>
          <w:numId w:val="1"/>
        </w:numPr>
        <w:spacing w:after="80"/>
      </w:pPr>
      <w:r>
        <w:rPr>
          <w:color w:val="374151"/>
          <w:sz w:val="22"/>
          <w:szCs w:val="22"/>
          <w:rFonts w:ascii="Calibri" w:cs="Calibri" w:eastAsia="Calibri" w:hAnsi="Calibri"/>
        </w:rPr>
        <w:t xml:space="preserve">Promover a participação nas campanhas de sensibilização</w:t>
      </w:r>
    </w:p>
    <w:p>
      <w:pPr>
        <w:pStyle w:val="ListParagraph"/>
        <w:numPr>
          <w:ilvl w:val="0"/>
          <w:numId w:val="1"/>
        </w:numPr>
        <w:spacing w:after="80"/>
      </w:pPr>
      <w:r>
        <w:rPr>
          <w:color w:val="374151"/>
          <w:sz w:val="22"/>
          <w:szCs w:val="22"/>
          <w:rFonts w:ascii="Calibri" w:cs="Calibri" w:eastAsia="Calibri" w:hAnsi="Calibri"/>
        </w:rPr>
        <w:t xml:space="preserve">Reportar ao responsável de cibersegurança necessidades específicas de formação da sua área</w:t>
      </w:r>
    </w:p>
    <w:p>
      <w:pPr>
        <w:pStyle w:val="Heading2"/>
        <w:spacing w:before="320" w:after="160"/>
      </w:pPr>
      <w:r>
        <w:rPr>
          <w:b/>
          <w:bCs/>
          <w:color w:val="1e3a8a"/>
          <w:sz w:val="28"/>
          <w:szCs w:val="28"/>
          <w:rFonts w:ascii="Calibri" w:cs="Calibri" w:eastAsia="Calibri" w:hAnsi="Calibri"/>
        </w:rPr>
        <w:t xml:space="preserve">14.5. Todos os colaboradores</w:t>
      </w:r>
    </w:p>
    <w:p>
      <w:pPr>
        <w:pStyle w:val="ListParagraph"/>
        <w:numPr>
          <w:ilvl w:val="0"/>
          <w:numId w:val="1"/>
        </w:numPr>
        <w:spacing w:after="80"/>
      </w:pPr>
      <w:r>
        <w:rPr>
          <w:color w:val="374151"/>
          <w:sz w:val="22"/>
          <w:szCs w:val="22"/>
          <w:rFonts w:ascii="Calibri" w:cs="Calibri" w:eastAsia="Calibri" w:hAnsi="Calibri"/>
        </w:rPr>
        <w:t xml:space="preserve">Completar todas as formações obrigatórias nos prazos definidos</w:t>
      </w:r>
    </w:p>
    <w:p>
      <w:pPr>
        <w:pStyle w:val="ListParagraph"/>
        <w:numPr>
          <w:ilvl w:val="0"/>
          <w:numId w:val="1"/>
        </w:numPr>
        <w:spacing w:after="80"/>
      </w:pPr>
      <w:r>
        <w:rPr>
          <w:color w:val="374151"/>
          <w:sz w:val="22"/>
          <w:szCs w:val="22"/>
          <w:rFonts w:ascii="Calibri" w:cs="Calibri" w:eastAsia="Calibri" w:hAnsi="Calibri"/>
        </w:rPr>
        <w:t xml:space="preserve">Participar nas simulações de phishing e nas campanhas de sensibilização</w:t>
      </w:r>
    </w:p>
    <w:p>
      <w:pPr>
        <w:pStyle w:val="ListParagraph"/>
        <w:numPr>
          <w:ilvl w:val="0"/>
          <w:numId w:val="1"/>
        </w:numPr>
        <w:spacing w:after="80"/>
      </w:pPr>
      <w:r>
        <w:rPr>
          <w:color w:val="374151"/>
          <w:sz w:val="22"/>
          <w:szCs w:val="22"/>
          <w:rFonts w:ascii="Calibri" w:cs="Calibri" w:eastAsia="Calibri" w:hAnsi="Calibri"/>
        </w:rPr>
        <w:t xml:space="preserve">Aplicar no dia a dia os conhecimentos e comportamentos adquiridos na formação</w:t>
      </w:r>
    </w:p>
    <w:p>
      <w:pPr>
        <w:pStyle w:val="ListParagraph"/>
        <w:numPr>
          <w:ilvl w:val="0"/>
          <w:numId w:val="1"/>
        </w:numPr>
        <w:spacing w:after="80"/>
      </w:pPr>
      <w:r>
        <w:rPr>
          <w:color w:val="374151"/>
          <w:sz w:val="22"/>
          <w:szCs w:val="22"/>
          <w:rFonts w:ascii="Calibri" w:cs="Calibri" w:eastAsia="Calibri" w:hAnsi="Calibri"/>
        </w:rPr>
        <w:t xml:space="preserve">Reportar prontamente incidentes, suspeitas e vulnerabilidades identificadas</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3a8a" w:sz="6" w:space="1"/>
      </w:pBdr>
      <w:jc w:val="center"/>
    </w:pPr>
    <w:r>
      <w:rPr>
        <w:color w:val="9ca3af"/>
        <w:sz w:val="18"/>
        <w:szCs w:val="18"/>
        <w:rFonts w:ascii="Calibri" w:cs="Calibri" w:eastAsia="Calibri" w:hAnsi="Calibri"/>
      </w:rPr>
      <w:t xml:space="preserve">Confidencial  |  Página </w:t>
    </w:r>
    <w:r>
      <w:rPr>
        <w:color w:val="9ca3af"/>
        <w:sz w:val="18"/>
        <w:szCs w:val="18"/>
        <w:rFonts w:ascii="Calibri" w:cs="Calibri" w:eastAsia="Calibri" w:hAnsi="Calibri"/>
      </w:rPr>
      <w:fldChar w:fldCharType="begin"/>
      <w:instrText xml:space="preserve">PAGE</w:instrText>
      <w:fldChar w:fldCharType="separate"/>
      <w:fldChar w:fldCharType="end"/>
    </w:r>
    <w:r>
      <w:rPr>
        <w:color w:val="9ca3af"/>
        <w:sz w:val="18"/>
        <w:szCs w:val="18"/>
        <w:rFonts w:ascii="Calibri" w:cs="Calibri" w:eastAsia="Calibri" w:hAnsi="Calibri"/>
      </w:rPr>
      <w:t xml:space="preserve"> de </w:t>
    </w:r>
    <w:r>
      <w:rPr>
        <w:color w:val="9ca3af"/>
        <w:sz w:val="18"/>
        <w:szCs w:val="18"/>
        <w:rFonts w:ascii="Calibri" w:cs="Calibri" w:eastAsia="Calibri" w:hAnsi="Calibri"/>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3a8a" w:sz="6" w:space="1"/>
      </w:pBdr>
      <w:jc w:val="right"/>
    </w:pPr>
    <w:r>
      <w:rPr>
        <w:color w:val="9ca3af"/>
        <w:sz w:val="18"/>
        <w:szCs w:val="18"/>
        <w:rFonts w:ascii="Calibri" w:cs="Calibri" w:eastAsia="Calibri" w:hAnsi="Calibri"/>
      </w:rPr>
      <w:t xml:space="preserve">Programa de formação e sensibilização em cibersegurança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2026-03-18T13:34:03.111Z</dcterms:created>
  <dcterms:modified xsi:type="dcterms:W3CDTF">2026-03-18T13:34:03.111Z</dcterms:modified>
</cp:coreProperties>
</file>

<file path=docProps/custom.xml><?xml version="1.0" encoding="utf-8"?>
<Properties xmlns="http://schemas.openxmlformats.org/officeDocument/2006/custom-properties" xmlns:vt="http://schemas.openxmlformats.org/officeDocument/2006/docPropsVTypes"/>
</file>