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
      </w:pPr>
    </w:p>
    <w:p>
      <w:pPr>
        <w:spacing w:after="600"/>
        <w:jc w:val="center"/>
      </w:pPr>
      <w:r>
        <w:rPr>
          <w:i/>
          <w:iCs/>
          <w:color w:val="9ca3af"/>
          <w:sz w:val="22"/>
          <w:szCs w:val="22"/>
          <w:rFonts w:ascii="Calibri" w:cs="Calibri" w:eastAsia="Calibri" w:hAnsi="Calibri"/>
        </w:rPr>
        <w:t xml:space="preserve">[Nome da organização]</w:t>
      </w:r>
    </w:p>
    <w:p>
      <w:pPr>
        <w:spacing w:after="300"/>
        <w:jc w:val="center"/>
      </w:pPr>
      <w:r>
        <w:rPr>
          <w:b/>
          <w:bCs/>
          <w:color w:val="1e3a8a"/>
          <w:sz w:val="28"/>
          <w:szCs w:val="28"/>
          <w:rFonts w:ascii="Calibri" w:cs="Calibri" w:eastAsia="Calibri" w:hAnsi="Calibri"/>
        </w:rPr>
        <w:t xml:space="preserve">Pronúncia em audiência prévia sobre a qualificação</w:t>
      </w:r>
    </w:p>
    <w:p>
      <w:pPr>
        <w:spacing w:after="1200"/>
        <w:jc w:val="center"/>
      </w:pPr>
      <w:r>
        <w:rPr>
          <w:color w:val="374151"/>
          <w:sz w:val="22"/>
          <w:szCs w:val="22"/>
          <w:rFonts w:ascii="Calibri" w:cs="Calibri" w:eastAsia="Calibri" w:hAnsi="Calibri"/>
        </w:rPr>
        <w:t xml:space="preserve">Resposta ao projeto de decisão de qualificação — Art. 8.º do DL 125/2025 e Art. 9.º do Regulamento n.º 756/2026</w:t>
      </w:r>
    </w:p>
    <w:p>
      <w:pPr>
        <w:spacing w:after="160"/>
        <w:jc w:val="center"/>
      </w:pPr>
      <w:r>
        <w:rPr>
          <w:b/>
          <w:bCs/>
          <w:color w:val="374151"/>
          <w:sz w:val="22"/>
          <w:szCs w:val="22"/>
          <w:rFonts w:ascii="Calibri" w:cs="Calibri" w:eastAsia="Calibri" w:hAnsi="Calibri"/>
        </w:rPr>
        <w:t xml:space="preserve">Versão: </w:t>
      </w:r>
      <w:r>
        <w:rPr>
          <w:color w:val="374151"/>
          <w:sz w:val="22"/>
          <w:szCs w:val="22"/>
          <w:rFonts w:ascii="Calibri" w:cs="Calibri" w:eastAsia="Calibri" w:hAnsi="Calibri"/>
        </w:rPr>
        <w:t xml:space="preserve">1.0</w:t>
      </w:r>
    </w:p>
    <w:p>
      <w:pPr>
        <w:spacing w:after="160"/>
        <w:jc w:val="center"/>
      </w:pPr>
      <w:r>
        <w:rPr>
          <w:b/>
          <w:bCs/>
          <w:color w:val="374151"/>
          <w:sz w:val="22"/>
          <w:szCs w:val="22"/>
          <w:rFonts w:ascii="Calibri" w:cs="Calibri" w:eastAsia="Calibri" w:hAnsi="Calibri"/>
        </w:rPr>
        <w:t xml:space="preserve">Data: </w:t>
      </w:r>
      <w:r>
        <w:rPr>
          <w:color w:val="374151"/>
          <w:sz w:val="22"/>
          <w:szCs w:val="22"/>
          <w:rFonts w:ascii="Calibri" w:cs="Calibri" w:eastAsia="Calibri" w:hAnsi="Calibri"/>
        </w:rPr>
        <w:t xml:space="preserve">14/09/2026</w:t>
      </w:r>
    </w:p>
    <w:p>
      <w:pPr>
        <w:spacing w:after="400"/>
        <w:jc w:val="center"/>
      </w:pPr>
      <w:r>
        <w:rPr>
          <w:b/>
          <w:bCs/>
          <w:color w:val="374151"/>
          <w:sz w:val="22"/>
          <w:szCs w:val="22"/>
          <w:rFonts w:ascii="Calibri" w:cs="Calibri" w:eastAsia="Calibri" w:hAnsi="Calibri"/>
        </w:rPr>
        <w:t xml:space="preserve">Classificação: </w:t>
      </w:r>
      <w:r>
        <w:rPr>
          <w:b/>
          <w:bCs/>
          <w:color w:val="dc2626"/>
          <w:sz w:val="22"/>
          <w:szCs w:val="22"/>
          <w:rFonts w:ascii="Calibri" w:cs="Calibri" w:eastAsia="Calibri" w:hAnsi="Calibri"/>
        </w:rPr>
        <w:t xml:space="preserve">Confidencial</w:t>
      </w:r>
    </w:p>
    <w:p>
      <w:r>
        <w:br w:type="page"/>
      </w:r>
    </w:p>
    <w:p>
      <w:pPr>
        <w:pStyle w:val="Heading2"/>
        <w:spacing w:before="320" w:after="160"/>
      </w:pPr>
      <w:r>
        <w:rPr>
          <w:b/>
          <w:bCs/>
          <w:color w:val="1e3a8a"/>
          <w:sz w:val="28"/>
          <w:szCs w:val="28"/>
          <w:rFonts w:ascii="Calibri" w:cs="Calibri" w:eastAsia="Calibri" w:hAnsi="Calibri"/>
        </w:rPr>
        <w:t xml:space="preserve">Controlo de versões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rPr>
          <w:tblHeader/>
        </w:trPr>
        <w:tc>
          <w:tcPr>
            <w:shd w:color="1e3a8a" w:val="solid"/>
            <w:vAlign w:val="center"/>
          </w:tcPr>
          <w:p>
            <w:r>
              <w:rPr>
                <w:b/>
                <w:bCs/>
                <w:color w:val="ffffff"/>
                <w:sz w:val="22"/>
                <w:szCs w:val="22"/>
                <w:rFonts w:ascii="Calibri" w:cs="Calibri" w:eastAsia="Calibri" w:hAnsi="Calibri"/>
              </w:rPr>
              <w:t xml:space="preserve">Versão</w:t>
            </w:r>
          </w:p>
        </w:tc>
        <w:tc>
          <w:tcPr>
            <w:shd w:color="1e3a8a" w:val="solid"/>
            <w:vAlign w:val="center"/>
          </w:tcPr>
          <w:p>
            <w:r>
              <w:rPr>
                <w:b/>
                <w:bCs/>
                <w:color w:val="ffffff"/>
                <w:sz w:val="22"/>
                <w:szCs w:val="22"/>
                <w:rFonts w:ascii="Calibri" w:cs="Calibri" w:eastAsia="Calibri" w:hAnsi="Calibri"/>
              </w:rPr>
              <w:t xml:space="preserve">Data</w:t>
            </w:r>
          </w:p>
        </w:tc>
        <w:tc>
          <w:tcPr>
            <w:shd w:color="1e3a8a" w:val="solid"/>
            <w:vAlign w:val="center"/>
          </w:tcPr>
          <w:p>
            <w:r>
              <w:rPr>
                <w:b/>
                <w:bCs/>
                <w:color w:val="ffffff"/>
                <w:sz w:val="22"/>
                <w:szCs w:val="22"/>
                <w:rFonts w:ascii="Calibri" w:cs="Calibri" w:eastAsia="Calibri" w:hAnsi="Calibri"/>
              </w:rPr>
              <w:t xml:space="preserve">Autor</w:t>
            </w:r>
          </w:p>
        </w:tc>
        <w:tc>
          <w:tcPr>
            <w:shd w:color="1e3a8a" w:val="solid"/>
            <w:vAlign w:val="center"/>
          </w:tcPr>
          <w:p>
            <w:r>
              <w:rPr>
                <w:b/>
                <w:bCs/>
                <w:color w:val="ffffff"/>
                <w:sz w:val="22"/>
                <w:szCs w:val="22"/>
                <w:rFonts w:ascii="Calibri" w:cs="Calibri" w:eastAsia="Calibri" w:hAnsi="Calibri"/>
              </w:rPr>
              <w:t xml:space="preserve">Alterações</w:t>
            </w:r>
          </w:p>
        </w:tc>
        <w:tc>
          <w:tcPr>
            <w:shd w:color="1e3a8a" w:val="solid"/>
            <w:vAlign w:val="center"/>
          </w:tcPr>
          <w:p>
            <w:r>
              <w:rPr>
                <w:b/>
                <w:bCs/>
                <w:color w:val="ffffff"/>
                <w:sz w:val="22"/>
                <w:szCs w:val="22"/>
                <w:rFonts w:ascii="Calibri" w:cs="Calibri" w:eastAsia="Calibri" w:hAnsi="Calibri"/>
              </w:rPr>
              <w:t xml:space="preserve">Aprovado por</w:t>
            </w:r>
          </w:p>
        </w:tc>
      </w:tr>
      <w:tr>
        <w:tc>
          <w:p>
            <w:r>
              <w:rPr>
                <w:color w:val="374151"/>
                <w:sz w:val="22"/>
                <w:szCs w:val="22"/>
                <w:rFonts w:ascii="Calibri" w:cs="Calibri" w:eastAsia="Calibri" w:hAnsi="Calibri"/>
              </w:rPr>
              <w:t xml:space="preserve">1.0</w:t>
            </w:r>
          </w:p>
        </w:tc>
        <w:tc>
          <w:p>
            <w:r>
              <w:rPr>
                <w:color w:val="374151"/>
                <w:sz w:val="22"/>
                <w:szCs w:val="22"/>
                <w:rFonts w:ascii="Calibri" w:cs="Calibri" w:eastAsia="Calibri" w:hAnsi="Calibri"/>
              </w:rPr>
            </w:r>
          </w:p>
        </w:tc>
        <w:tc>
          <w:p>
            <w:r>
              <w:rPr>
                <w:color w:val="374151"/>
                <w:sz w:val="22"/>
                <w:szCs w:val="22"/>
                <w:rFonts w:ascii="Calibri" w:cs="Calibri" w:eastAsia="Calibri" w:hAnsi="Calibri"/>
              </w:rPr>
              <w:t xml:space="preserve">[Autor]</w:t>
            </w:r>
          </w:p>
        </w:tc>
        <w:tc>
          <w:p>
            <w:r>
              <w:rPr>
                <w:color w:val="374151"/>
                <w:sz w:val="22"/>
                <w:szCs w:val="22"/>
                <w:rFonts w:ascii="Calibri" w:cs="Calibri" w:eastAsia="Calibri" w:hAnsi="Calibri"/>
              </w:rPr>
              <w:t xml:space="preserve">Versão inicial</w:t>
            </w:r>
          </w:p>
        </w:tc>
        <w:tc>
          <w:p>
            <w:r>
              <w:rPr>
                <w:color w:val="374151"/>
                <w:sz w:val="22"/>
                <w:szCs w:val="22"/>
                <w:rFonts w:ascii="Calibri" w:cs="Calibri" w:eastAsia="Calibri" w:hAnsi="Calibri"/>
              </w:rPr>
              <w:t xml:space="preserve">[Aprovador]</w:t>
            </w:r>
          </w:p>
        </w:tc>
      </w:tr>
    </w:tbl>
    <w:p>
      <w:pPr>
        <w:pStyle w:val="Heading2"/>
        <w:spacing w:before="320" w:after="160"/>
      </w:pPr>
      <w:r>
        <w:rPr>
          <w:b/>
          <w:bCs/>
          <w:color w:val="1e3a8a"/>
          <w:sz w:val="28"/>
          <w:szCs w:val="28"/>
          <w:rFonts w:ascii="Calibri" w:cs="Calibri" w:eastAsia="Calibri" w:hAnsi="Calibri"/>
        </w:rPr>
        <w:t xml:space="preserve">Aviso importante sobre o prazo</w:t>
      </w:r>
    </w:p>
    <w:p>
      <w:pPr>
        <w:pBdr>
          <w:left w:val="single" w:color="f97316" w:sz="24" w:space="8"/>
        </w:pBdr>
        <w:shd w:color="FEF3C7" w:val="solid"/>
        <w:spacing w:before="160" w:after="160"/>
        <w:ind w:left="360" w:right="360"/>
      </w:pPr>
      <w:r>
        <w:rPr>
          <w:b/>
          <w:bCs/>
          <w:color w:val="374151"/>
          <w:sz w:val="22"/>
          <w:szCs w:val="22"/>
          <w:rFonts w:ascii="Calibri" w:cs="Calibri" w:eastAsia="Calibri" w:hAnsi="Calibri"/>
        </w:rPr>
        <w:t xml:space="preserve">O prazo para a entidade se pronunciar sobre o projeto de decisão de qualificação é de 10 dias úteis a contar da notificação, contados nos termos do Código do Procedimento Administrativo (CPA). A pronúncia deve ser submetida obrigatoriamente na plataforma eletrónica, no campo disponibilizado para o efeito — não por email ou por carta, salvo indisponibilidade técnica da plataforma.</w:t>
      </w:r>
    </w:p>
    <w:p>
      <w:r>
        <w:br w:type="page"/>
      </w:r>
    </w:p>
    <w:p>
      <w:pPr>
        <w:pStyle w:val="Heading1"/>
        <w:spacing w:before="400" w:after="200"/>
      </w:pPr>
      <w:r>
        <w:rPr>
          <w:b/>
          <w:bCs/>
          <w:color w:val="1e3a8a"/>
          <w:sz w:val="32"/>
          <w:szCs w:val="32"/>
          <w:rFonts w:ascii="Calibri" w:cs="Calibri" w:eastAsia="Calibri" w:hAnsi="Calibri"/>
        </w:rPr>
        <w:t xml:space="preserve">Como usar este documento</w:t>
      </w:r>
    </w:p>
    <w:p>
      <w:pPr>
        <w:spacing w:after="160"/>
      </w:pPr>
      <w:r>
        <w:rPr>
          <w:color w:val="374151"/>
          <w:sz w:val="22"/>
          <w:szCs w:val="22"/>
          <w:rFonts w:ascii="Calibri" w:cs="Calibri" w:eastAsia="Calibri" w:hAnsi="Calibri"/>
        </w:rPr>
        <w:t xml:space="preserve">Este template apoia a elaboração da pronúncia da entidade em sede de audiência prévia sobre o projeto de decisão de qualificação, nos termos do Art. 8.º do DL 125/2025 e do Art. 9.º do Regulamento n.º 756/2026. Utilize-o quando discordar, no todo ou em parte, do projeto de decisão notificado pela autoridade de cibersegurança competente.</w:t>
      </w:r>
    </w:p>
    <w:p>
      <w:pPr>
        <w:pStyle w:val="ListParagraph"/>
        <w:numPr>
          <w:ilvl w:val="0"/>
          <w:numId w:val="1"/>
        </w:numPr>
        <w:spacing w:after="80"/>
      </w:pPr>
      <w:r>
        <w:rPr>
          <w:color w:val="374151"/>
          <w:sz w:val="22"/>
          <w:szCs w:val="22"/>
          <w:rFonts w:ascii="Calibri" w:cs="Calibri" w:eastAsia="Calibri" w:hAnsi="Calibri"/>
        </w:rPr>
        <w:t xml:space="preserve">Confirme na notificação recebida qual é exatamente o objeto do projeto de decisão (qualificação, sector, nível de conformidade, dimensão) antes de estruturar a pronúncia.</w:t>
      </w:r>
    </w:p>
    <w:p>
      <w:pPr>
        <w:pStyle w:val="ListParagraph"/>
        <w:numPr>
          <w:ilvl w:val="0"/>
          <w:numId w:val="1"/>
        </w:numPr>
        <w:spacing w:after="80"/>
      </w:pPr>
      <w:r>
        <w:rPr>
          <w:color w:val="374151"/>
          <w:sz w:val="22"/>
          <w:szCs w:val="22"/>
          <w:rFonts w:ascii="Calibri" w:cs="Calibri" w:eastAsia="Calibri" w:hAnsi="Calibri"/>
        </w:rPr>
        <w:t xml:space="preserve">A pronúncia é submetida através da plataforma eletrónica, no campo próprio da audiência de interessados — prepare o texto e os anexos antecipadamente para cumprir o prazo de 10 dias úteis.</w:t>
      </w:r>
    </w:p>
    <w:p>
      <w:pPr>
        <w:pStyle w:val="ListParagraph"/>
        <w:numPr>
          <w:ilvl w:val="0"/>
          <w:numId w:val="1"/>
        </w:numPr>
        <w:spacing w:after="80"/>
      </w:pPr>
      <w:r>
        <w:rPr>
          <w:color w:val="374151"/>
          <w:sz w:val="22"/>
          <w:szCs w:val="22"/>
          <w:rFonts w:ascii="Calibri" w:cs="Calibri" w:eastAsia="Calibri" w:hAnsi="Calibri"/>
        </w:rPr>
        <w:t xml:space="preserve">Ausência de pronúncia não impede a decisão final: decorrido o prazo, a autoridade profere decisão com base nos elementos disponíveis.</w:t>
      </w:r>
    </w:p>
    <w:p>
      <w:pPr>
        <w:pStyle w:val="ListParagraph"/>
        <w:numPr>
          <w:ilvl w:val="0"/>
          <w:numId w:val="1"/>
        </w:numPr>
        <w:spacing w:after="80"/>
      </w:pPr>
      <w:r>
        <w:rPr>
          <w:color w:val="374151"/>
          <w:sz w:val="22"/>
          <w:szCs w:val="22"/>
          <w:rFonts w:ascii="Calibri" w:cs="Calibri" w:eastAsia="Calibri" w:hAnsi="Calibri"/>
        </w:rPr>
        <w:t xml:space="preserve">Este template não substitui aconselhamento jurídico, sobretudo quando a qualificação em causa tenha impacto financeiro ou reputacional relevante.</w:t>
      </w:r>
    </w:p>
    <w:p>
      <w:pPr>
        <w:pStyle w:val="Heading1"/>
        <w:spacing w:before="400" w:after="200"/>
      </w:pPr>
      <w:r>
        <w:rPr>
          <w:b/>
          <w:bCs/>
          <w:color w:val="1e3a8a"/>
          <w:sz w:val="32"/>
          <w:szCs w:val="32"/>
          <w:rFonts w:ascii="Calibri" w:cs="Calibri" w:eastAsia="Calibri" w:hAnsi="Calibri"/>
        </w:rPr>
        <w:t xml:space="preserve">Enquadramento legal</w:t>
      </w:r>
    </w:p>
    <w:p>
      <w:pPr>
        <w:shd w:color="dbeafe" w:val="solid"/>
        <w:spacing w:before="160" w:after="160"/>
        <w:ind w:left="360" w:right="360"/>
      </w:pPr>
      <w:r>
        <w:rPr>
          <w:i/>
          <w:iCs/>
          <w:color w:val="1e3a8a"/>
          <w:sz w:val="22"/>
          <w:szCs w:val="22"/>
          <w:rFonts w:ascii="Calibri" w:cs="Calibri" w:eastAsia="Calibri" w:hAnsi="Calibri"/>
        </w:rPr>
        <w:t xml:space="preserve">Base legal principal: Art. 8.º do DL 125/2025 ("Procedimento de qualificação das entidades"); Art. 9.º n.os 2, 3 e 10 do Regulamento n.º 756/2026 ("Qualificação de entidades"); subsidiariamente, Art. 121.º e seguintes do Código do Procedimento Administrativo (audiência dos interessados).</w:t>
      </w:r>
    </w:p>
    <w:p>
      <w:pPr>
        <w:spacing w:after="160"/>
      </w:pPr>
      <w:r>
        <w:rPr>
          <w:color w:val="374151"/>
          <w:sz w:val="22"/>
          <w:szCs w:val="22"/>
          <w:rFonts w:ascii="Calibri" w:cs="Calibri" w:eastAsia="Calibri" w:hAnsi="Calibri"/>
        </w:rPr>
        <w:t xml:space="preserve">Art. 9.º n.º 2 do Regulamento n.º 756/2026, citado integralmente: "Após a auto-identificação prevista no artigo anterior, as entidades são notificadas pela autoridade de cibersegurança competente, na plataforma eletrónica e por correio eletrónico, para se pronunciarem quanto ao projeto de decisão de qualificação, no prazo de 10 dias úteis, nos termos do artigo 121.º e seguintes do Código do Procedimento Administrativo para audiência dos interessados."</w:t>
      </w:r>
    </w:p>
    <w:p>
      <w:pPr>
        <w:spacing w:after="160"/>
      </w:pPr>
      <w:r>
        <w:rPr>
          <w:color w:val="374151"/>
          <w:sz w:val="22"/>
          <w:szCs w:val="22"/>
          <w:rFonts w:ascii="Calibri" w:cs="Calibri" w:eastAsia="Calibri" w:hAnsi="Calibri"/>
        </w:rPr>
        <w:t xml:space="preserve">Art. 9.º n.º 3 do Regulamento n.º 756/2026: "A audiência dos interessados deve ser realizada na plataforma eletrónica, através de campo disponibilizado para o efeito."</w:t>
      </w:r>
    </w:p>
    <w:p>
      <w:pPr>
        <w:spacing w:after="160"/>
      </w:pPr>
      <w:r>
        <w:rPr>
          <w:color w:val="374151"/>
          <w:sz w:val="22"/>
          <w:szCs w:val="22"/>
          <w:rFonts w:ascii="Calibri" w:cs="Calibri" w:eastAsia="Calibri" w:hAnsi="Calibri"/>
        </w:rPr>
        <w:t xml:space="preserve">Art. 8.º n.º 4 do DL 125/2025 (aplicável aos casos de qualificação por critérios de exposição ao risco, dimensão e probabilidade de incidentes): "A qualificação prevista no número anterior é devidamente fundamentada pelo CNCS, sendo precedida de audiência prévia da entidade em causa e, quando aplicável, de parecer das autoridades nacionais setoriais de cibersegurança referidas na alínea a) do n.º 2 do artigo 15.º"</w:t>
      </w:r>
    </w:p>
    <w:p>
      <w:r>
        <w:br w:type="page"/>
      </w:r>
    </w:p>
    <w:p>
      <w:pPr>
        <w:pStyle w:val="Heading1"/>
        <w:spacing w:before="400" w:after="200"/>
      </w:pPr>
      <w:r>
        <w:rPr>
          <w:b/>
          <w:bCs/>
          <w:color w:val="1e3a8a"/>
          <w:sz w:val="32"/>
          <w:szCs w:val="32"/>
          <w:rFonts w:ascii="Calibri" w:cs="Calibri" w:eastAsia="Calibri" w:hAnsi="Calibri"/>
        </w:rPr>
        <w:t xml:space="preserve">Pronúncia</w:t>
      </w:r>
    </w:p>
    <w:p>
      <w:pPr>
        <w:spacing w:after="160"/>
      </w:pPr>
      <w:r>
        <w:rPr>
          <w:color w:val="374151"/>
          <w:sz w:val="22"/>
          <w:szCs w:val="22"/>
          <w:rFonts w:ascii="Calibri" w:cs="Calibri" w:eastAsia="Calibri" w:hAnsi="Calibri"/>
        </w:rPr>
        <w:t xml:space="preserve">Exmo(a). Senhor(a) [designação da autoridade de cibersegurança competente]</w:t>
      </w:r>
    </w:p>
    <w:p>
      <w:pPr>
        <w:pStyle w:val="Heading2"/>
        <w:spacing w:before="320" w:after="160"/>
      </w:pPr>
      <w:r>
        <w:rPr>
          <w:b/>
          <w:bCs/>
          <w:color w:val="1e3a8a"/>
          <w:sz w:val="28"/>
          <w:szCs w:val="28"/>
          <w:rFonts w:ascii="Calibri" w:cs="Calibri" w:eastAsia="Calibri" w:hAnsi="Calibri"/>
        </w:rPr>
        <w:t xml:space="preserve">1. Identificação da entidade e da notificação recebida</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tcW w:type="pct" w:w="40%"/>
            <w:shd w:color="1e3a8a" w:val="solid"/>
            <w:vAlign w:val="center"/>
          </w:tcPr>
          <w:p>
            <w:r>
              <w:rPr>
                <w:b/>
                <w:bCs/>
                <w:color w:val="ffffff"/>
                <w:sz w:val="22"/>
                <w:szCs w:val="22"/>
                <w:rFonts w:ascii="Calibri" w:cs="Calibri" w:eastAsia="Calibri" w:hAnsi="Calibri"/>
              </w:rPr>
              <w:t xml:space="preserve">Campo</w:t>
            </w:r>
          </w:p>
        </w:tc>
        <w:tc>
          <w:tcPr>
            <w:tcW w:type="pct" w:w="60%"/>
            <w:shd w:color="1e3a8a" w:val="solid"/>
            <w:vAlign w:val="center"/>
          </w:tcPr>
          <w:p>
            <w:r>
              <w:rPr>
                <w:b/>
                <w:bCs/>
                <w:color w:val="ffffff"/>
                <w:sz w:val="22"/>
                <w:szCs w:val="22"/>
                <w:rFonts w:ascii="Calibri" w:cs="Calibri" w:eastAsia="Calibri" w:hAnsi="Calibri"/>
              </w:rPr>
              <w:t xml:space="preserve">Valor</w:t>
            </w:r>
          </w:p>
        </w:tc>
      </w:tr>
      <w:tr>
        <w:tc>
          <w:tcPr>
            <w:shd w:color="f3f4f6" w:val="solid"/>
            <w:vAlign w:val="center"/>
          </w:tcPr>
          <w:p>
            <w:r>
              <w:rPr>
                <w:color w:val="374151"/>
                <w:sz w:val="22"/>
                <w:szCs w:val="22"/>
                <w:rFonts w:ascii="Calibri" w:cs="Calibri" w:eastAsia="Calibri" w:hAnsi="Calibri"/>
              </w:rPr>
              <w:t xml:space="preserve">Nome/Denominação social</w:t>
            </w:r>
          </w:p>
        </w:tc>
        <w:tc>
          <w:tcPr>
            <w:vAlign w:val="center"/>
          </w:tcPr>
          <w:p>
            <w:r>
              <w:rPr>
                <w:color w:val="374151"/>
                <w:sz w:val="22"/>
                <w:szCs w:val="22"/>
                <w:rFonts w:ascii="Calibri" w:cs="Calibri" w:eastAsia="Calibri" w:hAnsi="Calibri"/>
              </w:rPr>
              <w:t xml:space="preserve">[Nome da organização]</w:t>
            </w:r>
          </w:p>
        </w:tc>
      </w:tr>
      <w:tr>
        <w:tc>
          <w:tcPr>
            <w:shd w:color="f3f4f6" w:val="solid"/>
            <w:vAlign w:val="center"/>
          </w:tcPr>
          <w:p>
            <w:r>
              <w:rPr>
                <w:color w:val="374151"/>
                <w:sz w:val="22"/>
                <w:szCs w:val="22"/>
                <w:rFonts w:ascii="Calibri" w:cs="Calibri" w:eastAsia="Calibri" w:hAnsi="Calibri"/>
              </w:rPr>
              <w:t xml:space="preserve">NIF/NIPC</w:t>
            </w:r>
          </w:p>
        </w:tc>
        <w:tc>
          <w:tcPr>
            <w:vAlign w:val="center"/>
          </w:tcPr>
          <w:p>
            <w:r>
              <w:rPr>
                <w:color w:val="374151"/>
                <w:sz w:val="22"/>
                <w:szCs w:val="22"/>
                <w:rFonts w:ascii="Calibri" w:cs="Calibri" w:eastAsia="Calibri" w:hAnsi="Calibri"/>
              </w:rPr>
              <w:t xml:space="preserve">[Número]</w:t>
            </w:r>
          </w:p>
        </w:tc>
      </w:tr>
      <w:tr>
        <w:tc>
          <w:tcPr>
            <w:shd w:color="f3f4f6" w:val="solid"/>
            <w:vAlign w:val="center"/>
          </w:tcPr>
          <w:p>
            <w:r>
              <w:rPr>
                <w:color w:val="374151"/>
                <w:sz w:val="22"/>
                <w:szCs w:val="22"/>
                <w:rFonts w:ascii="Calibri" w:cs="Calibri" w:eastAsia="Calibri" w:hAnsi="Calibri"/>
              </w:rPr>
              <w:t xml:space="preserve">Data da notificação do projeto de decisão</w:t>
            </w:r>
          </w:p>
        </w:tc>
        <w:tc>
          <w:tcPr>
            <w:vAlign w:val="center"/>
          </w:tcPr>
          <w:p>
            <w:r>
              <w:rPr>
                <w:color w:val="374151"/>
                <w:sz w:val="22"/>
                <w:szCs w:val="22"/>
                <w:rFonts w:ascii="Calibri" w:cs="Calibri" w:eastAsia="Calibri" w:hAnsi="Calibri"/>
              </w:rPr>
              <w:t xml:space="preserve">[DD/MM/AAAA]</w:t>
            </w:r>
          </w:p>
        </w:tc>
      </w:tr>
      <w:tr>
        <w:tc>
          <w:tcPr>
            <w:shd w:color="f3f4f6" w:val="solid"/>
            <w:vAlign w:val="center"/>
          </w:tcPr>
          <w:p>
            <w:r>
              <w:rPr>
                <w:color w:val="374151"/>
                <w:sz w:val="22"/>
                <w:szCs w:val="22"/>
                <w:rFonts w:ascii="Calibri" w:cs="Calibri" w:eastAsia="Calibri" w:hAnsi="Calibri"/>
              </w:rPr>
              <w:t xml:space="preserve">Referência/número do processo na plataforma eletrónica</w:t>
            </w:r>
          </w:p>
        </w:tc>
        <w:tc>
          <w:tcPr>
            <w:vAlign w:val="center"/>
          </w:tcPr>
          <w:p>
            <w:r>
              <w:rPr>
                <w:color w:val="374151"/>
                <w:sz w:val="22"/>
                <w:szCs w:val="22"/>
                <w:rFonts w:ascii="Calibri" w:cs="Calibri" w:eastAsia="Calibri" w:hAnsi="Calibri"/>
              </w:rPr>
              <w:t xml:space="preserve">[Referência]</w:t>
            </w:r>
          </w:p>
        </w:tc>
      </w:tr>
      <w:tr>
        <w:tc>
          <w:tcPr>
            <w:shd w:color="f3f4f6" w:val="solid"/>
            <w:vAlign w:val="center"/>
          </w:tcPr>
          <w:p>
            <w:r>
              <w:rPr>
                <w:color w:val="374151"/>
                <w:sz w:val="22"/>
                <w:szCs w:val="22"/>
                <w:rFonts w:ascii="Calibri" w:cs="Calibri" w:eastAsia="Calibri" w:hAnsi="Calibri"/>
              </w:rPr>
              <w:t xml:space="preserve">Prazo-limite para pronúncia (10 dias úteis)</w:t>
            </w:r>
          </w:p>
        </w:tc>
        <w:tc>
          <w:tcPr>
            <w:vAlign w:val="center"/>
          </w:tcPr>
          <w:p>
            <w:r>
              <w:rPr>
                <w:color w:val="374151"/>
                <w:sz w:val="22"/>
                <w:szCs w:val="22"/>
                <w:rFonts w:ascii="Calibri" w:cs="Calibri" w:eastAsia="Calibri" w:hAnsi="Calibri"/>
              </w:rPr>
              <w:t xml:space="preserve">[DD/MM/AAAA]</w:t>
            </w:r>
          </w:p>
        </w:tc>
      </w:tr>
      <w:tr>
        <w:tc>
          <w:tcPr>
            <w:shd w:color="f3f4f6" w:val="solid"/>
            <w:vAlign w:val="center"/>
          </w:tcPr>
          <w:p>
            <w:r>
              <w:rPr>
                <w:color w:val="374151"/>
                <w:sz w:val="22"/>
                <w:szCs w:val="22"/>
                <w:rFonts w:ascii="Calibri" w:cs="Calibri" w:eastAsia="Calibri" w:hAnsi="Calibri"/>
              </w:rPr>
              <w:t xml:space="preserve">Representante legal</w:t>
            </w:r>
          </w:p>
        </w:tc>
        <w:tc>
          <w:tcPr>
            <w:vAlign w:val="center"/>
          </w:tcPr>
          <w:p>
            <w:r>
              <w:rPr>
                <w:color w:val="374151"/>
                <w:sz w:val="22"/>
                <w:szCs w:val="22"/>
                <w:rFonts w:ascii="Calibri" w:cs="Calibri" w:eastAsia="Calibri" w:hAnsi="Calibri"/>
              </w:rPr>
              <w:t xml:space="preserve">[Nome e qualidade]</w:t>
            </w:r>
          </w:p>
        </w:tc>
      </w:tr>
    </w:tbl>
    <w:p>
      <w:pPr>
        <w:pStyle w:val="Heading2"/>
        <w:spacing w:before="320" w:after="160"/>
      </w:pPr>
      <w:r>
        <w:rPr>
          <w:b/>
          <w:bCs/>
          <w:color w:val="1e3a8a"/>
          <w:sz w:val="28"/>
          <w:szCs w:val="28"/>
          <w:rFonts w:ascii="Calibri" w:cs="Calibri" w:eastAsia="Calibri" w:hAnsi="Calibri"/>
        </w:rPr>
        <w:t xml:space="preserve">2. Objeto da discordância</w:t>
      </w:r>
    </w:p>
    <w:p>
      <w:pPr>
        <w:spacing w:after="160"/>
      </w:pPr>
      <w:r>
        <w:rPr>
          <w:color w:val="374151"/>
          <w:sz w:val="22"/>
          <w:szCs w:val="22"/>
          <w:rFonts w:ascii="Calibri" w:cs="Calibri" w:eastAsia="Calibri" w:hAnsi="Calibri"/>
        </w:rPr>
        <w:t xml:space="preserve">Assinale, de entre as opções seguintes, o(s) aspeto(s) do projeto de decisão com que a entidade não concorda:</w:t>
      </w:r>
    </w:p>
    <w:p>
      <w:pPr>
        <w:pStyle w:val="ListParagraph"/>
        <w:numPr>
          <w:ilvl w:val="0"/>
          <w:numId w:val="1"/>
        </w:numPr>
        <w:spacing w:after="80"/>
      </w:pPr>
      <w:r>
        <w:rPr>
          <w:color w:val="374151"/>
          <w:sz w:val="22"/>
          <w:szCs w:val="22"/>
          <w:rFonts w:ascii="Calibri" w:cs="Calibri" w:eastAsia="Calibri" w:hAnsi="Calibri"/>
        </w:rPr>
        <w:t xml:space="preserve">☐ Qualificação atribuída (essencial / importante / pública relevante), nos termos do Art. 6.º do DL 125/2025</w:t>
      </w:r>
    </w:p>
    <w:p>
      <w:pPr>
        <w:pStyle w:val="ListParagraph"/>
        <w:numPr>
          <w:ilvl w:val="0"/>
          <w:numId w:val="1"/>
        </w:numPr>
        <w:spacing w:after="80"/>
      </w:pPr>
      <w:r>
        <w:rPr>
          <w:color w:val="374151"/>
          <w:sz w:val="22"/>
          <w:szCs w:val="22"/>
          <w:rFonts w:ascii="Calibri" w:cs="Calibri" w:eastAsia="Calibri" w:hAnsi="Calibri"/>
        </w:rPr>
        <w:t xml:space="preserve">☐ Sector ou subsector atribuído (Anexo I ou Anexo II do DL 125/2025)</w:t>
      </w:r>
    </w:p>
    <w:p>
      <w:pPr>
        <w:pStyle w:val="ListParagraph"/>
        <w:numPr>
          <w:ilvl w:val="0"/>
          <w:numId w:val="1"/>
        </w:numPr>
        <w:spacing w:after="80"/>
      </w:pPr>
      <w:r>
        <w:rPr>
          <w:color w:val="374151"/>
          <w:sz w:val="22"/>
          <w:szCs w:val="22"/>
          <w:rFonts w:ascii="Calibri" w:cs="Calibri" w:eastAsia="Calibri" w:hAnsi="Calibri"/>
        </w:rPr>
        <w:t xml:space="preserve">☐ Nível de conformidade e respetivas medidas de cibersegurança obrigatórias associadas (Art. 9.º n.º 5 do Regulamento n.º 756/2026; Art. 28.º n.º 2 e Anexo III do Regulamento)</w:t>
      </w:r>
    </w:p>
    <w:p>
      <w:pPr>
        <w:pStyle w:val="ListParagraph"/>
        <w:numPr>
          <w:ilvl w:val="0"/>
          <w:numId w:val="1"/>
        </w:numPr>
        <w:spacing w:after="80"/>
      </w:pPr>
      <w:r>
        <w:rPr>
          <w:color w:val="374151"/>
          <w:sz w:val="22"/>
          <w:szCs w:val="22"/>
          <w:rFonts w:ascii="Calibri" w:cs="Calibri" w:eastAsia="Calibri" w:hAnsi="Calibri"/>
        </w:rPr>
        <w:t xml:space="preserve">☐ Dimensão considerada para efeitos de qualificação (Recomendação 2003/361/CE)</w:t>
      </w:r>
    </w:p>
    <w:p>
      <w:pPr>
        <w:pStyle w:val="ListParagraph"/>
        <w:numPr>
          <w:ilvl w:val="0"/>
          <w:numId w:val="1"/>
        </w:numPr>
        <w:spacing w:after="80"/>
      </w:pPr>
      <w:r>
        <w:rPr>
          <w:color w:val="374151"/>
          <w:sz w:val="22"/>
          <w:szCs w:val="22"/>
          <w:rFonts w:ascii="Calibri" w:cs="Calibri" w:eastAsia="Calibri" w:hAnsi="Calibri"/>
        </w:rPr>
        <w:t xml:space="preserve">☐ Enquadramento num dos casos especiais do Art. 3.º n.º 2 do DL 125/2025 (independentes de dimensão)</w:t>
      </w:r>
    </w:p>
    <w:p>
      <w:pPr>
        <w:pStyle w:val="ListParagraph"/>
        <w:numPr>
          <w:ilvl w:val="0"/>
          <w:numId w:val="1"/>
        </w:numPr>
        <w:spacing w:after="80"/>
      </w:pPr>
      <w:r>
        <w:rPr>
          <w:color w:val="374151"/>
          <w:sz w:val="22"/>
          <w:szCs w:val="22"/>
          <w:rFonts w:ascii="Calibri" w:cs="Calibri" w:eastAsia="Calibri" w:hAnsi="Calibri"/>
        </w:rPr>
        <w:t xml:space="preserve">☐ Grupo de entidade pública relevante atribuído — Grupo A ou Grupo B (Art. 7.º do DL 125/2025)</w:t>
      </w:r>
    </w:p>
    <w:p>
      <w:pPr>
        <w:pStyle w:val="ListParagraph"/>
        <w:numPr>
          <w:ilvl w:val="0"/>
          <w:numId w:val="1"/>
        </w:numPr>
        <w:spacing w:after="80"/>
      </w:pPr>
      <w:r>
        <w:rPr>
          <w:color w:val="374151"/>
          <w:sz w:val="22"/>
          <w:szCs w:val="22"/>
          <w:rFonts w:ascii="Calibri" w:cs="Calibri" w:eastAsia="Calibri" w:hAnsi="Calibri"/>
        </w:rPr>
        <w:t xml:space="preserve">☐ Outro: [descrever]</w:t>
      </w:r>
    </w:p>
    <w:p>
      <w:pPr>
        <w:pStyle w:val="Heading2"/>
        <w:spacing w:before="320" w:after="160"/>
      </w:pPr>
      <w:r>
        <w:rPr>
          <w:b/>
          <w:bCs/>
          <w:color w:val="1e3a8a"/>
          <w:sz w:val="28"/>
          <w:szCs w:val="28"/>
          <w:rFonts w:ascii="Calibri" w:cs="Calibri" w:eastAsia="Calibri" w:hAnsi="Calibri"/>
        </w:rPr>
        <w:t xml:space="preserve">3. Fundamentação de facto e de direito</w:t>
      </w:r>
    </w:p>
    <w:p>
      <w:pPr>
        <w:shd w:color="dbeafe" w:val="solid"/>
        <w:spacing w:before="160" w:after="160"/>
        <w:ind w:left="360" w:right="360"/>
      </w:pPr>
      <w:r>
        <w:rPr>
          <w:i/>
          <w:iCs/>
          <w:color w:val="1e3a8a"/>
          <w:sz w:val="22"/>
          <w:szCs w:val="22"/>
          <w:rFonts w:ascii="Calibri" w:cs="Calibri" w:eastAsia="Calibri" w:hAnsi="Calibri"/>
        </w:rPr>
        <w:t xml:space="preserve">Base legal para a qualificação essencial/importante: Art. 6.º do DL 125/2025. Regra de dimensão (Recomendação 2003/361/CE, Art. 2.º): deixa de ser pequena empresa uma entidade com 50 ou mais trabalhadores, ou com volume de negócios anual superior a 10 milhões de euros e balanço total superior a 10 milhões de euros (critério cumulativo destes dois últimos, alternativo ao do número de trabalhadores).</w:t>
      </w:r>
    </w:p>
    <w:p>
      <w:pPr>
        <w:spacing w:after="160"/>
      </w:pPr>
      <w:r>
        <w:rPr>
          <w:color w:val="374151"/>
          <w:sz w:val="22"/>
          <w:szCs w:val="22"/>
          <w:rFonts w:ascii="Calibri" w:cs="Calibri" w:eastAsia="Calibri" w:hAnsi="Calibri"/>
        </w:rPr>
        <w:t xml:space="preserve">[Fundamentar, ponto a ponto, a discordância assinalada na secção 2. Sugestão de estrutura por tipo de discordância:]</w:t>
      </w:r>
    </w:p>
    <w:p>
      <w:pPr>
        <w:pStyle w:val="ListParagraph"/>
        <w:numPr>
          <w:ilvl w:val="0"/>
          <w:numId w:val="1"/>
        </w:numPr>
        <w:spacing w:after="80"/>
      </w:pPr>
      <w:r>
        <w:rPr>
          <w:color w:val="374151"/>
          <w:sz w:val="22"/>
          <w:szCs w:val="22"/>
          <w:rFonts w:ascii="Calibri" w:cs="Calibri" w:eastAsia="Calibri" w:hAnsi="Calibri"/>
        </w:rPr>
        <w:t xml:space="preserve">Quanto à qualificação essencial/importante: descrever o número de trabalhadores, o volume de negócios e o balanço da entidade, comparando-os com os limiares da Recomendação 2003/361/CE (Art. 6.º do DL 125/2025).</w:t>
      </w:r>
    </w:p>
    <w:p>
      <w:pPr>
        <w:pStyle w:val="ListParagraph"/>
        <w:numPr>
          <w:ilvl w:val="0"/>
          <w:numId w:val="1"/>
        </w:numPr>
        <w:spacing w:after="80"/>
      </w:pPr>
      <w:r>
        <w:rPr>
          <w:color w:val="374151"/>
          <w:sz w:val="22"/>
          <w:szCs w:val="22"/>
          <w:rFonts w:ascii="Calibri" w:cs="Calibri" w:eastAsia="Calibri" w:hAnsi="Calibri"/>
        </w:rPr>
        <w:t xml:space="preserve">Quanto ao sector/subsector: descrever o objeto social, as licenças detidas e a atividade efetivamente exercida, comparando com a redação exata do ponto do Anexo I ou II aplicado pela autoridade.</w:t>
      </w:r>
    </w:p>
    <w:p>
      <w:pPr>
        <w:pStyle w:val="ListParagraph"/>
        <w:numPr>
          <w:ilvl w:val="0"/>
          <w:numId w:val="1"/>
        </w:numPr>
        <w:spacing w:after="80"/>
      </w:pPr>
      <w:r>
        <w:rPr>
          <w:color w:val="374151"/>
          <w:sz w:val="22"/>
          <w:szCs w:val="22"/>
          <w:rFonts w:ascii="Calibri" w:cs="Calibri" w:eastAsia="Calibri" w:hAnsi="Calibri"/>
        </w:rPr>
        <w:t xml:space="preserve">Quanto ao nível de conformidade: identificar as medidas de cibersegurança mínimas que a entidade considera desproporcionadas ou incorretamente atribuídas, com referência ao Art. 28.º n.º 2 e ao Anexo III do Regulamento n.º 756/2026.</w:t>
      </w:r>
    </w:p>
    <w:p>
      <w:pPr>
        <w:pStyle w:val="ListParagraph"/>
        <w:numPr>
          <w:ilvl w:val="0"/>
          <w:numId w:val="1"/>
        </w:numPr>
        <w:spacing w:after="80"/>
      </w:pPr>
      <w:r>
        <w:rPr>
          <w:color w:val="374151"/>
          <w:sz w:val="22"/>
          <w:szCs w:val="22"/>
          <w:rFonts w:ascii="Calibri" w:cs="Calibri" w:eastAsia="Calibri" w:hAnsi="Calibri"/>
        </w:rPr>
        <w:t xml:space="preserve">Quanto aos casos especiais do Art. 3.º n.º 2: demonstrar que a entidade não se enquadra em nenhuma das situações previstas (fornecedor único de serviço essencial, risco sistémico, criticidade nacional ou regional, entre outras).</w:t>
      </w:r>
    </w:p>
    <w:p>
      <w:pPr>
        <w:pStyle w:val="ListParagraph"/>
        <w:numPr>
          <w:ilvl w:val="0"/>
          <w:numId w:val="1"/>
        </w:numPr>
        <w:spacing w:after="80"/>
      </w:pPr>
      <w:r>
        <w:rPr>
          <w:color w:val="374151"/>
          <w:sz w:val="22"/>
          <w:szCs w:val="22"/>
          <w:rFonts w:ascii="Calibri" w:cs="Calibri" w:eastAsia="Calibri" w:hAnsi="Calibri"/>
        </w:rPr>
        <w:t xml:space="preserve">Quanto ao grupo de entidade pública relevante: apresentar o número de trabalhadores do quadro de pessoal à data de referência, face aos limiares do Art. 7.º n.os 2 e 3 do DL 125/2025 (Grupo A: 250 ou mais trabalhadores; Grupo B: entre 75 e 249 trabalhadores).</w:t>
      </w:r>
    </w:p>
    <w:p>
      <w:pPr>
        <w:spacing w:after="160"/>
      </w:pPr>
      <w:r>
        <w:rPr>
          <w:color w:val="374151"/>
          <w:sz w:val="22"/>
          <w:szCs w:val="22"/>
          <w:rFonts w:ascii="Calibri" w:cs="Calibri" w:eastAsia="Calibri" w:hAnsi="Calibri"/>
        </w:rPr>
        <w:t xml:space="preserve">[Desenvolver a fundamentação de facto e de direito aplicável ao caso concreto.]</w:t>
      </w:r>
    </w:p>
    <w:p>
      <w:pPr>
        <w:pStyle w:val="Heading2"/>
        <w:spacing w:before="320" w:after="160"/>
      </w:pPr>
      <w:r>
        <w:rPr>
          <w:b/>
          <w:bCs/>
          <w:color w:val="1e3a8a"/>
          <w:sz w:val="28"/>
          <w:szCs w:val="28"/>
          <w:rFonts w:ascii="Calibri" w:cs="Calibri" w:eastAsia="Calibri" w:hAnsi="Calibri"/>
        </w:rPr>
        <w:t xml:space="preserve">4. Evidência anexada</w:t>
      </w:r>
    </w:p>
    <w:p>
      <w:pPr>
        <w:spacing w:after="160"/>
      </w:pPr>
      <w:r>
        <w:rPr>
          <w:color w:val="374151"/>
          <w:sz w:val="22"/>
          <w:szCs w:val="22"/>
          <w:rFonts w:ascii="Calibri" w:cs="Calibri" w:eastAsia="Calibri" w:hAnsi="Calibri"/>
        </w:rPr>
        <w:t xml:space="preserve">A lei não fixa uma lista fechada de documentos a anexar; a pronúncia deve fundamentar a discordância nos termos gerais de audiência de interessados do CPA. Sugerem-se os seguintes elementos, consoante o objeto da discordância assinalado na secção 2:</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rPr>
          <w:tblHeader/>
        </w:trPr>
        <w:tc>
          <w:tcPr>
            <w:shd w:color="1e3a8a" w:val="solid"/>
            <w:vAlign w:val="center"/>
          </w:tcPr>
          <w:p>
            <w:r>
              <w:rPr>
                <w:b/>
                <w:bCs/>
                <w:color w:val="ffffff"/>
                <w:sz w:val="22"/>
                <w:szCs w:val="22"/>
                <w:rFonts w:ascii="Calibri" w:cs="Calibri" w:eastAsia="Calibri" w:hAnsi="Calibri"/>
              </w:rPr>
              <w:t xml:space="preserve">Documento</w:t>
            </w:r>
          </w:p>
        </w:tc>
        <w:tc>
          <w:tcPr>
            <w:shd w:color="1e3a8a" w:val="solid"/>
            <w:vAlign w:val="center"/>
          </w:tcPr>
          <w:p>
            <w:r>
              <w:rPr>
                <w:b/>
                <w:bCs/>
                <w:color w:val="ffffff"/>
                <w:sz w:val="22"/>
                <w:szCs w:val="22"/>
                <w:rFonts w:ascii="Calibri" w:cs="Calibri" w:eastAsia="Calibri" w:hAnsi="Calibri"/>
              </w:rPr>
              <w:t xml:space="preserve">Relevância</w:t>
            </w:r>
          </w:p>
        </w:tc>
        <w:tc>
          <w:tcPr>
            <w:shd w:color="1e3a8a" w:val="solid"/>
            <w:vAlign w:val="center"/>
          </w:tcPr>
          <w:p>
            <w:r>
              <w:rPr>
                <w:b/>
                <w:bCs/>
                <w:color w:val="ffffff"/>
                <w:sz w:val="22"/>
                <w:szCs w:val="22"/>
                <w:rFonts w:ascii="Calibri" w:cs="Calibri" w:eastAsia="Calibri" w:hAnsi="Calibri"/>
              </w:rPr>
              <w:t xml:space="preserve">Anexo n.º</w:t>
            </w:r>
          </w:p>
        </w:tc>
      </w:tr>
      <w:tr>
        <w:tc>
          <w:tcPr>
            <w:shd w:color="f3f4f6" w:val="solid"/>
            <w:vAlign w:val="center"/>
          </w:tcPr>
          <w:p>
            <w:r>
              <w:rPr>
                <w:color w:val="374151"/>
                <w:sz w:val="22"/>
                <w:szCs w:val="22"/>
                <w:rFonts w:ascii="Calibri" w:cs="Calibri" w:eastAsia="Calibri" w:hAnsi="Calibri"/>
              </w:rPr>
              <w:t xml:space="preserve">Balanço e demonstração de resultados dos últimos dois exercícios</w:t>
            </w:r>
          </w:p>
        </w:tc>
        <w:tc>
          <w:tcPr>
            <w:vAlign w:val="center"/>
          </w:tcPr>
          <w:p>
            <w:r>
              <w:rPr>
                <w:color w:val="374151"/>
                <w:sz w:val="22"/>
                <w:szCs w:val="22"/>
                <w:rFonts w:ascii="Calibri" w:cs="Calibri" w:eastAsia="Calibri" w:hAnsi="Calibri"/>
              </w:rPr>
              <w:t xml:space="preserve">Dimensão (Rec. 2003/361/CE)</w:t>
            </w:r>
          </w:p>
        </w:tc>
        <w:tc>
          <w:tcPr>
            <w:vAlign w:val="center"/>
          </w:tcPr>
          <w:p>
            <w:r>
              <w:rPr>
                <w:color w:val="374151"/>
                <w:sz w:val="22"/>
                <w:szCs w:val="22"/>
                <w:rFonts w:ascii="Calibri" w:cs="Calibri" w:eastAsia="Calibri" w:hAnsi="Calibri"/>
              </w:rPr>
              <w:t xml:space="preserve">[N.º]</w:t>
            </w:r>
          </w:p>
        </w:tc>
      </w:tr>
      <w:tr>
        <w:tc>
          <w:tcPr>
            <w:shd w:color="f3f4f6" w:val="solid"/>
            <w:vAlign w:val="center"/>
          </w:tcPr>
          <w:p>
            <w:r>
              <w:rPr>
                <w:color w:val="374151"/>
                <w:sz w:val="22"/>
                <w:szCs w:val="22"/>
                <w:rFonts w:ascii="Calibri" w:cs="Calibri" w:eastAsia="Calibri" w:hAnsi="Calibri"/>
              </w:rPr>
              <w:t xml:space="preserve">Mapa de pessoal / número de trabalhadores</w:t>
            </w:r>
          </w:p>
        </w:tc>
        <w:tc>
          <w:tcPr>
            <w:vAlign w:val="center"/>
          </w:tcPr>
          <w:p>
            <w:r>
              <w:rPr>
                <w:color w:val="374151"/>
                <w:sz w:val="22"/>
                <w:szCs w:val="22"/>
                <w:rFonts w:ascii="Calibri" w:cs="Calibri" w:eastAsia="Calibri" w:hAnsi="Calibri"/>
              </w:rPr>
              <w:t xml:space="preserve">Dimensão e grupo de entidade pública relevante</w:t>
            </w:r>
          </w:p>
        </w:tc>
        <w:tc>
          <w:tcPr>
            <w:vAlign w:val="center"/>
          </w:tcPr>
          <w:p>
            <w:r>
              <w:rPr>
                <w:color w:val="374151"/>
                <w:sz w:val="22"/>
                <w:szCs w:val="22"/>
                <w:rFonts w:ascii="Calibri" w:cs="Calibri" w:eastAsia="Calibri" w:hAnsi="Calibri"/>
              </w:rPr>
              <w:t xml:space="preserve">[N.º]</w:t>
            </w:r>
          </w:p>
        </w:tc>
      </w:tr>
      <w:tr>
        <w:tc>
          <w:tcPr>
            <w:shd w:color="f3f4f6" w:val="solid"/>
            <w:vAlign w:val="center"/>
          </w:tcPr>
          <w:p>
            <w:r>
              <w:rPr>
                <w:color w:val="374151"/>
                <w:sz w:val="22"/>
                <w:szCs w:val="22"/>
                <w:rFonts w:ascii="Calibri" w:cs="Calibri" w:eastAsia="Calibri" w:hAnsi="Calibri"/>
              </w:rPr>
              <w:t xml:space="preserve">Certidão de objeto social / licenças de atividade</w:t>
            </w:r>
          </w:p>
        </w:tc>
        <w:tc>
          <w:tcPr>
            <w:vAlign w:val="center"/>
          </w:tcPr>
          <w:p>
            <w:r>
              <w:rPr>
                <w:color w:val="374151"/>
                <w:sz w:val="22"/>
                <w:szCs w:val="22"/>
                <w:rFonts w:ascii="Calibri" w:cs="Calibri" w:eastAsia="Calibri" w:hAnsi="Calibri"/>
              </w:rPr>
              <w:t xml:space="preserve">Enquadramento sectorial</w:t>
            </w:r>
          </w:p>
        </w:tc>
        <w:tc>
          <w:tcPr>
            <w:vAlign w:val="center"/>
          </w:tcPr>
          <w:p>
            <w:r>
              <w:rPr>
                <w:color w:val="374151"/>
                <w:sz w:val="22"/>
                <w:szCs w:val="22"/>
                <w:rFonts w:ascii="Calibri" w:cs="Calibri" w:eastAsia="Calibri" w:hAnsi="Calibri"/>
              </w:rPr>
              <w:t xml:space="preserve">[N.º]</w:t>
            </w:r>
          </w:p>
        </w:tc>
      </w:tr>
      <w:tr>
        <w:tc>
          <w:tcPr>
            <w:shd w:color="f3f4f6" w:val="solid"/>
            <w:vAlign w:val="center"/>
          </w:tcPr>
          <w:p>
            <w:r>
              <w:rPr>
                <w:color w:val="374151"/>
                <w:sz w:val="22"/>
                <w:szCs w:val="22"/>
                <w:rFonts w:ascii="Calibri" w:cs="Calibri" w:eastAsia="Calibri" w:hAnsi="Calibri"/>
              </w:rPr>
              <w:t xml:space="preserve">Descrição técnica da exposição ao risco</w:t>
            </w:r>
          </w:p>
        </w:tc>
        <w:tc>
          <w:tcPr>
            <w:vAlign w:val="center"/>
          </w:tcPr>
          <w:p>
            <w:r>
              <w:rPr>
                <w:color w:val="374151"/>
                <w:sz w:val="22"/>
                <w:szCs w:val="22"/>
                <w:rFonts w:ascii="Calibri" w:cs="Calibri" w:eastAsia="Calibri" w:hAnsi="Calibri"/>
              </w:rPr>
              <w:t xml:space="preserve">Nível de conformidade</w:t>
            </w:r>
          </w:p>
        </w:tc>
        <w:tc>
          <w:tcPr>
            <w:vAlign w:val="center"/>
          </w:tcPr>
          <w:p>
            <w:r>
              <w:rPr>
                <w:color w:val="374151"/>
                <w:sz w:val="22"/>
                <w:szCs w:val="22"/>
                <w:rFonts w:ascii="Calibri" w:cs="Calibri" w:eastAsia="Calibri" w:hAnsi="Calibri"/>
              </w:rPr>
              <w:t xml:space="preserve">[N.º]</w:t>
            </w:r>
          </w:p>
        </w:tc>
      </w:tr>
      <w:tr>
        <w:tc>
          <w:tcPr>
            <w:shd w:color="f3f4f6" w:val="solid"/>
            <w:vAlign w:val="center"/>
          </w:tcPr>
          <w:p>
            <w:r>
              <w:rPr>
                <w:color w:val="374151"/>
                <w:sz w:val="22"/>
                <w:szCs w:val="22"/>
                <w:rFonts w:ascii="Calibri" w:cs="Calibri" w:eastAsia="Calibri" w:hAnsi="Calibri"/>
              </w:rPr>
              <w:t xml:space="preserve">Organograma e estrutura de grupo</w:t>
            </w:r>
          </w:p>
        </w:tc>
        <w:tc>
          <w:tcPr>
            <w:vAlign w:val="center"/>
          </w:tcPr>
          <w:p>
            <w:r>
              <w:rPr>
                <w:color w:val="374151"/>
                <w:sz w:val="22"/>
                <w:szCs w:val="22"/>
                <w:rFonts w:ascii="Calibri" w:cs="Calibri" w:eastAsia="Calibri" w:hAnsi="Calibri"/>
              </w:rPr>
              <w:t xml:space="preserve">Casos especiais do Art. 3.º n.º 2</w:t>
            </w:r>
          </w:p>
        </w:tc>
        <w:tc>
          <w:tcPr>
            <w:vAlign w:val="center"/>
          </w:tcPr>
          <w:p>
            <w:r>
              <w:rPr>
                <w:color w:val="374151"/>
                <w:sz w:val="22"/>
                <w:szCs w:val="22"/>
                <w:rFonts w:ascii="Calibri" w:cs="Calibri" w:eastAsia="Calibri" w:hAnsi="Calibri"/>
              </w:rPr>
              <w:t xml:space="preserve">[N.º]</w:t>
            </w:r>
          </w:p>
        </w:tc>
      </w:tr>
      <w:tr>
        <w:tc>
          <w:tcPr>
            <w:shd w:color="f3f4f6" w:val="solid"/>
            <w:vAlign w:val="center"/>
          </w:tcPr>
          <w:p>
            <w:r>
              <w:rPr>
                <w:color w:val="374151"/>
                <w:sz w:val="22"/>
                <w:szCs w:val="22"/>
                <w:rFonts w:ascii="Calibri" w:cs="Calibri" w:eastAsia="Calibri" w:hAnsi="Calibri"/>
              </w:rPr>
              <w:t xml:space="preserve">[Outro]</w:t>
            </w:r>
          </w:p>
        </w:tc>
        <w:tc>
          <w:tcPr>
            <w:vAlign w:val="center"/>
          </w:tcPr>
          <w:p>
            <w:r>
              <w:rPr>
                <w:color w:val="374151"/>
                <w:sz w:val="22"/>
                <w:szCs w:val="22"/>
                <w:rFonts w:ascii="Calibri" w:cs="Calibri" w:eastAsia="Calibri" w:hAnsi="Calibri"/>
              </w:rPr>
              <w:t xml:space="preserve">[Descrição]</w:t>
            </w:r>
          </w:p>
        </w:tc>
        <w:tc>
          <w:tcPr>
            <w:vAlign w:val="center"/>
          </w:tcPr>
          <w:p>
            <w:r>
              <w:rPr>
                <w:color w:val="374151"/>
                <w:sz w:val="22"/>
                <w:szCs w:val="22"/>
                <w:rFonts w:ascii="Calibri" w:cs="Calibri" w:eastAsia="Calibri" w:hAnsi="Calibri"/>
              </w:rPr>
              <w:t xml:space="preserve">[N.º]</w:t>
            </w:r>
          </w:p>
        </w:tc>
      </w:tr>
    </w:tbl>
    <w:p>
      <w:r>
        <w:br w:type="page"/>
      </w:r>
    </w:p>
    <w:p>
      <w:pPr>
        <w:pStyle w:val="Heading2"/>
        <w:spacing w:before="320" w:after="160"/>
      </w:pPr>
      <w:r>
        <w:rPr>
          <w:b/>
          <w:bCs/>
          <w:color w:val="1e3a8a"/>
          <w:sz w:val="28"/>
          <w:szCs w:val="28"/>
          <w:rFonts w:ascii="Calibri" w:cs="Calibri" w:eastAsia="Calibri" w:hAnsi="Calibri"/>
        </w:rPr>
        <w:t xml:space="preserve">5. Pedido concreto</w:t>
      </w:r>
    </w:p>
    <w:p>
      <w:pPr>
        <w:spacing w:after="160"/>
      </w:pPr>
      <w:r>
        <w:rPr>
          <w:color w:val="374151"/>
          <w:sz w:val="22"/>
          <w:szCs w:val="22"/>
          <w:rFonts w:ascii="Calibri" w:cs="Calibri" w:eastAsia="Calibri" w:hAnsi="Calibri"/>
        </w:rPr>
        <w:t xml:space="preserve">Nestes termos, requer-se a V. Exa. que, tendo em conta os elementos de facto e de direito acima expostos, se digne rever o projeto de decisão de qualificação notificado, nomeadamente através de:</w:t>
      </w:r>
    </w:p>
    <w:p>
      <w:pPr>
        <w:pStyle w:val="ListParagraph"/>
        <w:numPr>
          <w:ilvl w:val="0"/>
          <w:numId w:val="1"/>
        </w:numPr>
        <w:spacing w:after="80"/>
      </w:pPr>
      <w:r>
        <w:rPr>
          <w:color w:val="374151"/>
          <w:sz w:val="22"/>
          <w:szCs w:val="22"/>
          <w:rFonts w:ascii="Calibri" w:cs="Calibri" w:eastAsia="Calibri" w:hAnsi="Calibri"/>
        </w:rPr>
        <w:t xml:space="preserve">[Reclassificação da entidade como (essencial/importante/pública relevante Grupo A ou B)]</w:t>
      </w:r>
    </w:p>
    <w:p>
      <w:pPr>
        <w:pStyle w:val="ListParagraph"/>
        <w:numPr>
          <w:ilvl w:val="0"/>
          <w:numId w:val="1"/>
        </w:numPr>
        <w:spacing w:after="80"/>
      </w:pPr>
      <w:r>
        <w:rPr>
          <w:color w:val="374151"/>
          <w:sz w:val="22"/>
          <w:szCs w:val="22"/>
          <w:rFonts w:ascii="Calibri" w:cs="Calibri" w:eastAsia="Calibri" w:hAnsi="Calibri"/>
        </w:rPr>
        <w:t xml:space="preserve">[Alteração do sector/subsector atribuído para]</w:t>
      </w:r>
    </w:p>
    <w:p>
      <w:pPr>
        <w:pStyle w:val="ListParagraph"/>
        <w:numPr>
          <w:ilvl w:val="0"/>
          <w:numId w:val="1"/>
        </w:numPr>
        <w:spacing w:after="80"/>
      </w:pPr>
      <w:r>
        <w:rPr>
          <w:color w:val="374151"/>
          <w:sz w:val="22"/>
          <w:szCs w:val="22"/>
          <w:rFonts w:ascii="Calibri" w:cs="Calibri" w:eastAsia="Calibri" w:hAnsi="Calibri"/>
        </w:rPr>
        <w:t xml:space="preserve">[Revisão do nível de conformidade e das medidas de cibersegurança obrigatórias associadas]</w:t>
      </w:r>
    </w:p>
    <w:p>
      <w:pPr>
        <w:pStyle w:val="ListParagraph"/>
        <w:numPr>
          <w:ilvl w:val="0"/>
          <w:numId w:val="1"/>
        </w:numPr>
        <w:spacing w:after="80"/>
      </w:pPr>
      <w:r>
        <w:rPr>
          <w:color w:val="374151"/>
          <w:sz w:val="22"/>
          <w:szCs w:val="22"/>
          <w:rFonts w:ascii="Calibri" w:cs="Calibri" w:eastAsia="Calibri" w:hAnsi="Calibri"/>
        </w:rPr>
        <w:t xml:space="preserve">[Outro pedido concreto, a especificar]</w:t>
      </w:r>
    </w:p>
    <w:p>
      <w:pPr>
        <w:spacing w:after="160"/>
      </w:pPr>
      <w:r>
        <w:rPr>
          <w:color w:val="374151"/>
          <w:sz w:val="22"/>
          <w:szCs w:val="22"/>
          <w:rFonts w:ascii="Calibri" w:cs="Calibri" w:eastAsia="Calibri" w:hAnsi="Calibri"/>
        </w:rPr>
        <w:t xml:space="preserve">Pede deferimento.</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tcW w:type="pct" w:w="40%"/>
            <w:shd w:color="1e3a8a" w:val="solid"/>
            <w:vAlign w:val="center"/>
          </w:tcPr>
          <w:p>
            <w:r>
              <w:rPr>
                <w:b/>
                <w:bCs/>
                <w:color w:val="ffffff"/>
                <w:sz w:val="22"/>
                <w:szCs w:val="22"/>
                <w:rFonts w:ascii="Calibri" w:cs="Calibri" w:eastAsia="Calibri" w:hAnsi="Calibri"/>
              </w:rPr>
              <w:t xml:space="preserve">Campo</w:t>
            </w:r>
          </w:p>
        </w:tc>
        <w:tc>
          <w:tcPr>
            <w:tcW w:type="pct" w:w="60%"/>
            <w:shd w:color="1e3a8a" w:val="solid"/>
            <w:vAlign w:val="center"/>
          </w:tcPr>
          <w:p>
            <w:r>
              <w:rPr>
                <w:b/>
                <w:bCs/>
                <w:color w:val="ffffff"/>
                <w:sz w:val="22"/>
                <w:szCs w:val="22"/>
                <w:rFonts w:ascii="Calibri" w:cs="Calibri" w:eastAsia="Calibri" w:hAnsi="Calibri"/>
              </w:rPr>
              <w:t xml:space="preserve">Valor</w:t>
            </w:r>
          </w:p>
        </w:tc>
      </w:tr>
      <w:tr>
        <w:tc>
          <w:tcPr>
            <w:shd w:color="f3f4f6" w:val="solid"/>
            <w:vAlign w:val="center"/>
          </w:tcPr>
          <w:p>
            <w:r>
              <w:rPr>
                <w:color w:val="374151"/>
                <w:sz w:val="22"/>
                <w:szCs w:val="22"/>
                <w:rFonts w:ascii="Calibri" w:cs="Calibri" w:eastAsia="Calibri" w:hAnsi="Calibri"/>
              </w:rPr>
              <w:t xml:space="preserve">Local</w:t>
            </w:r>
          </w:p>
        </w:tc>
        <w:tc>
          <w:tcPr>
            <w:vAlign w:val="center"/>
          </w:tcPr>
          <w:p>
            <w:r>
              <w:rPr>
                <w:color w:val="374151"/>
                <w:sz w:val="22"/>
                <w:szCs w:val="22"/>
                <w:rFonts w:ascii="Calibri" w:cs="Calibri" w:eastAsia="Calibri" w:hAnsi="Calibri"/>
              </w:rPr>
              <w:t xml:space="preserve">[Local]</w:t>
            </w:r>
          </w:p>
        </w:tc>
      </w:tr>
      <w:tr>
        <w:tc>
          <w:tcPr>
            <w:shd w:color="f3f4f6" w:val="solid"/>
            <w:vAlign w:val="center"/>
          </w:tcPr>
          <w:p>
            <w:r>
              <w:rPr>
                <w:color w:val="374151"/>
                <w:sz w:val="22"/>
                <w:szCs w:val="22"/>
                <w:rFonts w:ascii="Calibri" w:cs="Calibri" w:eastAsia="Calibri" w:hAnsi="Calibri"/>
              </w:rPr>
              <w:t xml:space="preserve">Data</w:t>
            </w:r>
          </w:p>
        </w:tc>
        <w:tc>
          <w:tcPr>
            <w:vAlign w:val="center"/>
          </w:tcPr>
          <w:p>
            <w:r>
              <w:rPr>
                <w:color w:val="374151"/>
                <w:sz w:val="22"/>
                <w:szCs w:val="22"/>
                <w:rFonts w:ascii="Calibri" w:cs="Calibri" w:eastAsia="Calibri" w:hAnsi="Calibri"/>
              </w:rPr>
              <w:t xml:space="preserve">[DD/MM/AAAA]</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tcW w:type="pct" w:w="30%"/>
            <w:shd w:color="1e3a8a" w:val="solid"/>
            <w:vAlign w:val="center"/>
          </w:tcPr>
          <w:p>
            <w:r>
              <w:rPr>
                <w:b/>
                <w:bCs/>
                <w:color w:val="ffffff"/>
                <w:sz w:val="22"/>
                <w:szCs w:val="22"/>
                <w:rFonts w:ascii="Calibri" w:cs="Calibri" w:eastAsia="Calibri" w:hAnsi="Calibri"/>
              </w:rPr>
              <w:t xml:space="preserve">Campo</w:t>
            </w:r>
          </w:p>
        </w:tc>
        <w:tc>
          <w:tcPr>
            <w:tcW w:type="pct" w:w="70%"/>
            <w:shd w:color="1e3a8a" w:val="solid"/>
            <w:vAlign w:val="center"/>
          </w:tcPr>
          <w:p>
            <w:r>
              <w:rPr>
                <w:b/>
                <w:bCs/>
                <w:color w:val="ffffff"/>
                <w:sz w:val="22"/>
                <w:szCs w:val="22"/>
                <w:rFonts w:ascii="Calibri" w:cs="Calibri" w:eastAsia="Calibri" w:hAnsi="Calibri"/>
              </w:rPr>
              <w:t xml:space="preserve">Preenchimento</w:t>
            </w:r>
          </w:p>
        </w:tc>
      </w:tr>
      <w:tr>
        <w:tc>
          <w:tcPr>
            <w:shd w:color="f3f4f6" w:val="solid"/>
            <w:vAlign w:val="center"/>
          </w:tcPr>
          <w:p>
            <w:r>
              <w:rPr>
                <w:color w:val="374151"/>
                <w:sz w:val="22"/>
                <w:szCs w:val="22"/>
                <w:rFonts w:ascii="Calibri" w:cs="Calibri" w:eastAsia="Calibri" w:hAnsi="Calibri"/>
              </w:rPr>
              <w:t xml:space="preserve">Nome</w:t>
            </w:r>
          </w:p>
        </w:tc>
        <w:tc>
          <w:tcPr>
            <w:vAlign w:val="center"/>
          </w:tcPr>
          <w:p>
            <w:r>
              <w:rPr>
                <w:color w:val="374151"/>
                <w:sz w:val="22"/>
                <w:szCs w:val="22"/>
                <w:rFonts w:ascii="Calibri" w:cs="Calibri" w:eastAsia="Calibri" w:hAnsi="Calibri"/>
              </w:rPr>
            </w:r>
          </w:p>
        </w:tc>
      </w:tr>
      <w:tr>
        <w:tc>
          <w:tcPr>
            <w:shd w:color="f3f4f6" w:val="solid"/>
            <w:vAlign w:val="center"/>
          </w:tcPr>
          <w:p>
            <w:r>
              <w:rPr>
                <w:color w:val="374151"/>
                <w:sz w:val="22"/>
                <w:szCs w:val="22"/>
                <w:rFonts w:ascii="Calibri" w:cs="Calibri" w:eastAsia="Calibri" w:hAnsi="Calibri"/>
              </w:rPr>
              <w:t xml:space="preserve">Cargo/Qualidade em que assina</w:t>
            </w:r>
          </w:p>
        </w:tc>
        <w:tc>
          <w:tcPr>
            <w:vAlign w:val="center"/>
          </w:tcPr>
          <w:p>
            <w:r>
              <w:rPr>
                <w:color w:val="374151"/>
                <w:sz w:val="22"/>
                <w:szCs w:val="22"/>
                <w:rFonts w:ascii="Calibri" w:cs="Calibri" w:eastAsia="Calibri" w:hAnsi="Calibri"/>
              </w:rPr>
            </w:r>
          </w:p>
        </w:tc>
      </w:tr>
      <w:tr>
        <w:tc>
          <w:tcPr>
            <w:shd w:color="f3f4f6" w:val="solid"/>
            <w:vAlign w:val="center"/>
          </w:tcPr>
          <w:p>
            <w:r>
              <w:rPr>
                <w:color w:val="374151"/>
                <w:sz w:val="22"/>
                <w:szCs w:val="22"/>
                <w:rFonts w:ascii="Calibri" w:cs="Calibri" w:eastAsia="Calibri" w:hAnsi="Calibri"/>
              </w:rPr>
              <w:t xml:space="preserve">Data</w:t>
            </w:r>
          </w:p>
        </w:tc>
        <w:tc>
          <w:tcPr>
            <w:vAlign w:val="center"/>
          </w:tcPr>
          <w:p>
            <w:r>
              <w:rPr>
                <w:color w:val="374151"/>
                <w:sz w:val="22"/>
                <w:szCs w:val="22"/>
                <w:rFonts w:ascii="Calibri" w:cs="Calibri" w:eastAsia="Calibri" w:hAnsi="Calibri"/>
              </w:rPr>
            </w:r>
          </w:p>
        </w:tc>
      </w:tr>
      <w:tr>
        <w:tc>
          <w:tcPr>
            <w:shd w:color="f3f4f6" w:val="solid"/>
            <w:vAlign w:val="center"/>
          </w:tcPr>
          <w:p>
            <w:r>
              <w:rPr>
                <w:color w:val="374151"/>
                <w:sz w:val="22"/>
                <w:szCs w:val="22"/>
                <w:rFonts w:ascii="Calibri" w:cs="Calibri" w:eastAsia="Calibri" w:hAnsi="Calibri"/>
              </w:rPr>
              <w:t xml:space="preserve">Assinatura</w:t>
            </w:r>
          </w:p>
        </w:tc>
        <w:tc>
          <w:tcPr>
            <w:vAlign w:val="center"/>
          </w:tcPr>
          <w:p>
            <w:r>
              <w:rPr>
                <w:color w:val="374151"/>
                <w:sz w:val="22"/>
                <w:szCs w:val="22"/>
                <w:rFonts w:ascii="Calibri" w:cs="Calibri" w:eastAsia="Calibri" w:hAnsi="Calibri"/>
              </w:rPr>
            </w:r>
          </w:p>
        </w:tc>
      </w:tr>
    </w:tbl>
    <w:p>
      <w:r>
        <w:br w:type="page"/>
      </w:r>
    </w:p>
    <w:p>
      <w:pPr>
        <w:pStyle w:val="Heading1"/>
        <w:spacing w:before="400" w:after="200"/>
      </w:pPr>
      <w:r>
        <w:rPr>
          <w:b/>
          <w:bCs/>
          <w:color w:val="1e3a8a"/>
          <w:sz w:val="32"/>
          <w:szCs w:val="32"/>
          <w:rFonts w:ascii="Calibri" w:cs="Calibri" w:eastAsia="Calibri" w:hAnsi="Calibri"/>
        </w:rPr>
        <w:t xml:space="preserve">Decisão subsequente e via de recurso</w:t>
      </w:r>
    </w:p>
    <w:p>
      <w:pPr>
        <w:shd w:color="dbeafe" w:val="solid"/>
        <w:spacing w:before="160" w:after="160"/>
        <w:ind w:left="360" w:right="360"/>
      </w:pPr>
      <w:r>
        <w:rPr>
          <w:i/>
          <w:iCs/>
          <w:color w:val="1e3a8a"/>
          <w:sz w:val="22"/>
          <w:szCs w:val="22"/>
          <w:rFonts w:ascii="Calibri" w:cs="Calibri" w:eastAsia="Calibri" w:hAnsi="Calibri"/>
        </w:rPr>
        <w:t xml:space="preserve">Base legal: Art. 9.º n.os 4, 5, 10 e 11 do Regulamento n.º 756/2026.</w:t>
      </w:r>
    </w:p>
    <w:p>
      <w:pPr>
        <w:spacing w:after="160"/>
      </w:pPr>
      <w:r>
        <w:rPr>
          <w:color w:val="374151"/>
          <w:sz w:val="22"/>
          <w:szCs w:val="22"/>
          <w:rFonts w:ascii="Calibri" w:cs="Calibri" w:eastAsia="Calibri" w:hAnsi="Calibri"/>
        </w:rPr>
        <w:t xml:space="preserve">Art. 9.º n.º 4 do Regulamento n.º 756/2026: "Decorrido o prazo para a audiência dos interessados sem que haja pronúncia das entidades ou após a sua apreciação pela autoridade de cibersegurança competente, é proferida decisão final de qualificação, a notificar às entidades através da plataforma eletrónica."</w:t>
      </w:r>
    </w:p>
    <w:p>
      <w:pPr>
        <w:spacing w:after="160"/>
      </w:pPr>
      <w:r>
        <w:rPr>
          <w:color w:val="374151"/>
          <w:sz w:val="22"/>
          <w:szCs w:val="22"/>
          <w:rFonts w:ascii="Calibri" w:cs="Calibri" w:eastAsia="Calibri" w:hAnsi="Calibri"/>
        </w:rPr>
        <w:t xml:space="preserve">Art. 9.º n.º 10 do Regulamento n.º 756/2026: "As entidades podem reagir à decisão final de qualificação nos termos gerais de Direito e através da plataforma eletrónica, nomeadamente através dos meios impugnatórios e prazos previstos no Código do Procedimento Administrativo."</w:t>
      </w:r>
    </w:p>
    <w:p>
      <w:pPr>
        <w:spacing w:after="160"/>
      </w:pPr>
      <w:r>
        <w:rPr>
          <w:color w:val="374151"/>
          <w:sz w:val="22"/>
          <w:szCs w:val="22"/>
          <w:rFonts w:ascii="Calibri" w:cs="Calibri" w:eastAsia="Calibri" w:hAnsi="Calibri"/>
        </w:rPr>
        <w:t xml:space="preserve">A lei especial (DL 125/2025 e Regulamento n.º 756/2026) não fixa um prazo próprio de recurso da decisão final de qualificação, remetendo para os termos gerais do CPA. Confirme os prazos aplicáveis (reclamação administrativa, recurso hierárquico ou recurso contencioso) junto de advogado antes de os contar por analogia.</w:t>
      </w:r>
    </w:p>
    <w:p>
      <w:pPr>
        <w:spacing w:after="160"/>
      </w:pPr>
      <w:r>
        <w:rPr>
          <w:color w:val="374151"/>
          <w:sz w:val="22"/>
          <w:szCs w:val="22"/>
          <w:rFonts w:ascii="Calibri" w:cs="Calibri" w:eastAsia="Calibri" w:hAnsi="Calibri"/>
        </w:rPr>
        <w:t xml:space="preserve">Nos termos do Art. 9.º n.º 11 do Regulamento n.º 756/2026, a qualificação pode ainda ser alterada a todo o momento pela autoridade de cibersegurança competente, com fundamento na alteração das circunstâncias ou das características da entidade.</w:t>
      </w:r>
    </w:p>
    <w:p>
      <w:pPr>
        <w:pBdr>
          <w:left w:val="single" w:color="f97316" w:sz="24" w:space="8"/>
        </w:pBdr>
        <w:shd w:color="FEF3C7" w:val="solid"/>
        <w:spacing w:before="160" w:after="160"/>
        <w:ind w:left="360" w:right="360"/>
      </w:pPr>
      <w:r>
        <w:rPr>
          <w:b/>
          <w:bCs/>
          <w:color w:val="374151"/>
          <w:sz w:val="22"/>
          <w:szCs w:val="22"/>
          <w:rFonts w:ascii="Calibri" w:cs="Calibri" w:eastAsia="Calibri" w:hAnsi="Calibri"/>
        </w:rPr>
        <w:t xml:space="preserve">Este documento é um template de apoio e não substitui aconselhamento jurídico. A qualificação da entidade tem impacto direto nas obrigações e no regime sancionatório aplicável — recomenda-se a revisão desta pronúncia por advogado antes da submissão na plataforma eletrónica.</w:t>
      </w:r>
    </w:p>
    <w:p>
      <w:r>
        <w:br w:type="page"/>
      </w:r>
    </w:p>
    <w:p>
      <w:pPr>
        <w:pStyle w:val="Heading1"/>
        <w:spacing w:before="400" w:after="200"/>
      </w:pPr>
      <w:r>
        <w:rPr>
          <w:b/>
          <w:bCs/>
          <w:color w:val="1e3a8a"/>
          <w:sz w:val="32"/>
          <w:szCs w:val="32"/>
          <w:rFonts w:ascii="Calibri" w:cs="Calibri" w:eastAsia="Calibri" w:hAnsi="Calibri"/>
        </w:rPr>
        <w:t xml:space="preserve">Anexo — Checklist de verificação</w:t>
      </w:r>
    </w:p>
    <w:p>
      <w:pPr>
        <w:pStyle w:val="ListParagraph"/>
        <w:numPr>
          <w:ilvl w:val="0"/>
          <w:numId w:val="1"/>
        </w:numPr>
        <w:spacing w:after="80"/>
      </w:pPr>
      <w:r>
        <w:rPr>
          <w:color w:val="374151"/>
          <w:sz w:val="22"/>
          <w:szCs w:val="22"/>
          <w:rFonts w:ascii="Calibri" w:cs="Calibri" w:eastAsia="Calibri" w:hAnsi="Calibri"/>
        </w:rPr>
        <w:t xml:space="preserve">☐ Data da notificação do projeto de decisão confirmada e prazo de 10 dias úteis calculado corretamente</w:t>
      </w:r>
    </w:p>
    <w:p>
      <w:pPr>
        <w:pStyle w:val="ListParagraph"/>
        <w:numPr>
          <w:ilvl w:val="0"/>
          <w:numId w:val="1"/>
        </w:numPr>
        <w:spacing w:after="80"/>
      </w:pPr>
      <w:r>
        <w:rPr>
          <w:color w:val="374151"/>
          <w:sz w:val="22"/>
          <w:szCs w:val="22"/>
          <w:rFonts w:ascii="Calibri" w:cs="Calibri" w:eastAsia="Calibri" w:hAnsi="Calibri"/>
        </w:rPr>
        <w:t xml:space="preserve">☐ Objeto da discordância identificado com precisão (secção 2)</w:t>
      </w:r>
    </w:p>
    <w:p>
      <w:pPr>
        <w:pStyle w:val="ListParagraph"/>
        <w:numPr>
          <w:ilvl w:val="0"/>
          <w:numId w:val="1"/>
        </w:numPr>
        <w:spacing w:after="80"/>
      </w:pPr>
      <w:r>
        <w:rPr>
          <w:color w:val="374151"/>
          <w:sz w:val="22"/>
          <w:szCs w:val="22"/>
          <w:rFonts w:ascii="Calibri" w:cs="Calibri" w:eastAsia="Calibri" w:hAnsi="Calibri"/>
        </w:rPr>
        <w:t xml:space="preserve">☐ Fundamentação de facto e de direito preparada para cada ponto de discordância</w:t>
      </w:r>
    </w:p>
    <w:p>
      <w:pPr>
        <w:pStyle w:val="ListParagraph"/>
        <w:numPr>
          <w:ilvl w:val="0"/>
          <w:numId w:val="1"/>
        </w:numPr>
        <w:spacing w:after="80"/>
      </w:pPr>
      <w:r>
        <w:rPr>
          <w:color w:val="374151"/>
          <w:sz w:val="22"/>
          <w:szCs w:val="22"/>
          <w:rFonts w:ascii="Calibri" w:cs="Calibri" w:eastAsia="Calibri" w:hAnsi="Calibri"/>
        </w:rPr>
        <w:t xml:space="preserve">☐ Evidência documental reunida e numerada como anexo</w:t>
      </w:r>
    </w:p>
    <w:p>
      <w:pPr>
        <w:pStyle w:val="ListParagraph"/>
        <w:numPr>
          <w:ilvl w:val="0"/>
          <w:numId w:val="1"/>
        </w:numPr>
        <w:spacing w:after="80"/>
      </w:pPr>
      <w:r>
        <w:rPr>
          <w:color w:val="374151"/>
          <w:sz w:val="22"/>
          <w:szCs w:val="22"/>
          <w:rFonts w:ascii="Calibri" w:cs="Calibri" w:eastAsia="Calibri" w:hAnsi="Calibri"/>
        </w:rPr>
        <w:t xml:space="preserve">☐ Pedido concreto formulado de forma clara</w:t>
      </w:r>
    </w:p>
    <w:p>
      <w:pPr>
        <w:pStyle w:val="ListParagraph"/>
        <w:numPr>
          <w:ilvl w:val="0"/>
          <w:numId w:val="1"/>
        </w:numPr>
        <w:spacing w:after="80"/>
      </w:pPr>
      <w:r>
        <w:rPr>
          <w:color w:val="374151"/>
          <w:sz w:val="22"/>
          <w:szCs w:val="22"/>
          <w:rFonts w:ascii="Calibri" w:cs="Calibri" w:eastAsia="Calibri" w:hAnsi="Calibri"/>
        </w:rPr>
        <w:t xml:space="preserve">☐ Pronúncia revista por advogado, se aplicável ao caso</w:t>
      </w:r>
    </w:p>
    <w:p>
      <w:pPr>
        <w:pStyle w:val="ListParagraph"/>
        <w:numPr>
          <w:ilvl w:val="0"/>
          <w:numId w:val="1"/>
        </w:numPr>
        <w:spacing w:after="80"/>
      </w:pPr>
      <w:r>
        <w:rPr>
          <w:color w:val="374151"/>
          <w:sz w:val="22"/>
          <w:szCs w:val="22"/>
          <w:rFonts w:ascii="Calibri" w:cs="Calibri" w:eastAsia="Calibri" w:hAnsi="Calibri"/>
        </w:rPr>
        <w:t xml:space="preserve">☐ Submissão feita através do campo próprio da plataforma eletrónica (não por email)</w:t>
      </w:r>
    </w:p>
    <w:p>
      <w:pPr>
        <w:pStyle w:val="ListParagraph"/>
        <w:numPr>
          <w:ilvl w:val="0"/>
          <w:numId w:val="1"/>
        </w:numPr>
        <w:spacing w:after="80"/>
      </w:pPr>
      <w:r>
        <w:rPr>
          <w:color w:val="374151"/>
          <w:sz w:val="22"/>
          <w:szCs w:val="22"/>
          <w:rFonts w:ascii="Calibri" w:cs="Calibri" w:eastAsia="Calibri" w:hAnsi="Calibri"/>
        </w:rPr>
        <w:t xml:space="preserve">☐ Comprovativo de submissão guardado</w:t>
      </w:r>
    </w:p>
    <w:p>
      <w:pPr>
        <w:pStyle w:val="Heading1"/>
      </w:pPr>
      <w:r>
        <w:rPr>
          <w:b/>
          <w:color w:val="1E3A8A"/>
          <w:sz w:val="28"/>
        </w:rPr>
        <w:t>1. Aprovação do documento</w:t>
      </w:r>
    </w:p>
    <w:tbl>
      <w:tblPr>
        <w:tblW w:type="auto" w:w="0"/>
        <w:tblLook w:firstColumn="1" w:firstRow="1" w:lastColumn="0" w:lastRow="0" w:noHBand="0" w:noVBand="1" w:val="04A0"/>
      </w:tblPr>
      <w:tblGrid>
        <w:gridCol w:w="2256"/>
        <w:gridCol w:w="2256"/>
        <w:gridCol w:w="2256"/>
        <w:gridCol w:w="2256"/>
      </w:tblGrid>
      <w:tr>
        <w:tc>
          <w:tcPr>
            <w:tcW w:type="dxa" w:w="2256"/>
            <w:shd w:val="clear" w:color="auto" w:fill="1E3A8A"/>
            <w:tcBorders>
              <w:top w:val="single" w:sz="4" w:space="0" w:color="D1D5DB"/>
              <w:left w:val="single" w:sz="4" w:space="0" w:color="D1D5DB"/>
              <w:bottom w:val="single" w:sz="4" w:space="0" w:color="D1D5DB"/>
              <w:right w:val="single" w:sz="4" w:space="0" w:color="D1D5DB"/>
            </w:tcBorders>
          </w:tcPr>
          <w:p>
            <w:r/>
            <w:r>
              <w:rPr>
                <w:b/>
                <w:color w:val="FFFFFF"/>
                <w:sz w:val="20"/>
              </w:rPr>
              <w:t>Papel</w:t>
            </w:r>
          </w:p>
        </w:tc>
        <w:tc>
          <w:tcPr>
            <w:tcW w:type="dxa" w:w="2256"/>
            <w:shd w:val="clear" w:color="auto" w:fill="1E3A8A"/>
            <w:tcBorders>
              <w:top w:val="single" w:sz="4" w:space="0" w:color="D1D5DB"/>
              <w:left w:val="single" w:sz="4" w:space="0" w:color="D1D5DB"/>
              <w:bottom w:val="single" w:sz="4" w:space="0" w:color="D1D5DB"/>
              <w:right w:val="single" w:sz="4" w:space="0" w:color="D1D5DB"/>
            </w:tcBorders>
          </w:tcPr>
          <w:p>
            <w:r/>
            <w:r>
              <w:rPr>
                <w:b/>
                <w:color w:val="FFFFFF"/>
                <w:sz w:val="20"/>
              </w:rPr>
              <w:t>Nome</w:t>
            </w:r>
          </w:p>
        </w:tc>
        <w:tc>
          <w:tcPr>
            <w:tcW w:type="dxa" w:w="2256"/>
            <w:shd w:val="clear" w:color="auto" w:fill="1E3A8A"/>
            <w:tcBorders>
              <w:top w:val="single" w:sz="4" w:space="0" w:color="D1D5DB"/>
              <w:left w:val="single" w:sz="4" w:space="0" w:color="D1D5DB"/>
              <w:bottom w:val="single" w:sz="4" w:space="0" w:color="D1D5DB"/>
              <w:right w:val="single" w:sz="4" w:space="0" w:color="D1D5DB"/>
            </w:tcBorders>
          </w:tcPr>
          <w:p>
            <w:r/>
            <w:r>
              <w:rPr>
                <w:b/>
                <w:color w:val="FFFFFF"/>
                <w:sz w:val="20"/>
              </w:rPr>
              <w:t>Cargo</w:t>
            </w:r>
          </w:p>
        </w:tc>
        <w:tc>
          <w:tcPr>
            <w:tcW w:type="dxa" w:w="2256"/>
            <w:shd w:val="clear" w:color="auto" w:fill="1E3A8A"/>
            <w:tcBorders>
              <w:top w:val="single" w:sz="4" w:space="0" w:color="D1D5DB"/>
              <w:left w:val="single" w:sz="4" w:space="0" w:color="D1D5DB"/>
              <w:bottom w:val="single" w:sz="4" w:space="0" w:color="D1D5DB"/>
              <w:right w:val="single" w:sz="4" w:space="0" w:color="D1D5DB"/>
            </w:tcBorders>
          </w:tcPr>
          <w:p>
            <w:r/>
            <w:r>
              <w:rPr>
                <w:b/>
                <w:color w:val="FFFFFF"/>
                <w:sz w:val="20"/>
              </w:rPr>
              <w:t>Data e assinatura</w:t>
            </w:r>
          </w:p>
        </w:tc>
      </w:tr>
      <w:tr>
        <w:tc>
          <w:tcPr>
            <w:tcW w:type="dxa" w:w="2256"/>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Elaborado por</w:t>
            </w:r>
          </w:p>
        </w:tc>
        <w:tc>
          <w:tcPr>
            <w:tcW w:type="dxa" w:w="2256"/>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[DPO/CISO]</w:t>
            </w:r>
          </w:p>
        </w:tc>
        <w:tc>
          <w:tcPr>
            <w:tcW w:type="dxa" w:w="2256"/>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r>
          </w:p>
        </w:tc>
        <w:tc>
          <w:tcPr>
            <w:tcW w:type="dxa" w:w="2256"/>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r>
          </w:p>
        </w:tc>
      </w:tr>
      <w:tr>
        <w:tc>
          <w:tcPr>
            <w:tcW w:type="dxa" w:w="2256"/>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Revisto por</w:t>
            </w:r>
          </w:p>
        </w:tc>
        <w:tc>
          <w:tcPr>
            <w:tcW w:type="dxa" w:w="2256"/>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r>
          </w:p>
        </w:tc>
        <w:tc>
          <w:tcPr>
            <w:tcW w:type="dxa" w:w="2256"/>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r>
          </w:p>
        </w:tc>
        <w:tc>
          <w:tcPr>
            <w:tcW w:type="dxa" w:w="2256"/>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r>
          </w:p>
        </w:tc>
      </w:tr>
      <w:tr>
        <w:tc>
          <w:tcPr>
            <w:tcW w:type="dxa" w:w="2256"/>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Aprovado por</w:t>
            </w:r>
          </w:p>
        </w:tc>
        <w:tc>
          <w:tcPr>
            <w:tcW w:type="dxa" w:w="2256"/>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r>
          </w:p>
        </w:tc>
        <w:tc>
          <w:tcPr>
            <w:tcW w:type="dxa" w:w="2256"/>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Conselho de Administração</w:t>
            </w:r>
          </w:p>
        </w:tc>
        <w:tc>
          <w:tcPr>
            <w:tcW w:type="dxa" w:w="2256"/>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r>
          </w:p>
        </w:tc>
      </w:tr>
      <w:tr>
        <w:tc>
          <w:tcPr>
            <w:tcW w:type="dxa" w:w="2256"/>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Comunicado a</w:t>
            </w:r>
          </w:p>
        </w:tc>
        <w:tc>
          <w:tcPr>
            <w:tcW w:type="dxa" w:w="2256"/>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Todos os colaboradores</w:t>
            </w:r>
          </w:p>
        </w:tc>
        <w:tc>
          <w:tcPr>
            <w:tcW w:type="dxa" w:w="2256"/>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r>
          </w:p>
        </w:tc>
        <w:tc>
          <w:tcPr>
            <w:tcW w:type="dxa" w:w="2256"/>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r>
          </w:p>
        </w:tc>
      </w:tr>
    </w:tbl>
    <w:p>
      <w:r>
        <w:rPr>
          <w:i/>
          <w:color w:val="374151"/>
          <w:sz w:val="20"/>
        </w:rPr>
        <w:t>Este documento é controlado pelo sistema de gestão documental da organização. Alterações requerem aprovação formal conforme tabela acima. A próxima revisão deve ocorrer até 14/09/2027.</w:t>
      </w:r>
    </w:p>
    <w:p>
      <w:pPr>
        <w:pStyle w:val="Heading1"/>
      </w:pPr>
      <w:r>
        <w:rPr>
          <w:b/>
          <w:color w:val="1E3A8A"/>
          <w:sz w:val="28"/>
        </w:rPr>
        <w:t>2. Glossário</w:t>
      </w:r>
    </w:p>
    <w:p>
      <w:r>
        <w:rPr>
          <w:color w:val="374151"/>
          <w:sz w:val="22"/>
        </w:rPr>
        <w:t>Para facilitar a leitura, apresentam-se os termos técnicos e legais usados ao longo deste documento.</w:t>
      </w:r>
    </w:p>
    <w:tbl>
      <w:tblPr>
        <w:tblW w:type="auto" w:w="0"/>
        <w:tblLook w:firstColumn="1" w:firstRow="1" w:lastColumn="0" w:lastRow="0" w:noHBand="0" w:noVBand="1" w:val="04A0"/>
      </w:tblPr>
      <w:tblGrid>
        <w:gridCol w:w="4513"/>
        <w:gridCol w:w="4513"/>
      </w:tblGrid>
      <w:tr>
        <w:tc>
          <w:tcPr>
            <w:tcW w:type="dxa" w:w="4513"/>
            <w:shd w:val="clear" w:color="auto" w:fill="1E3A8A"/>
            <w:tcBorders>
              <w:top w:val="single" w:sz="4" w:space="0" w:color="D1D5DB"/>
              <w:left w:val="single" w:sz="4" w:space="0" w:color="D1D5DB"/>
              <w:bottom w:val="single" w:sz="4" w:space="0" w:color="D1D5DB"/>
              <w:right w:val="single" w:sz="4" w:space="0" w:color="D1D5DB"/>
            </w:tcBorders>
          </w:tcPr>
          <w:p>
            <w:r/>
            <w:r>
              <w:rPr>
                <w:b/>
                <w:color w:val="FFFFFF"/>
                <w:sz w:val="20"/>
              </w:rPr>
              <w:t>Termo</w:t>
            </w:r>
          </w:p>
        </w:tc>
        <w:tc>
          <w:tcPr>
            <w:tcW w:type="dxa" w:w="4513"/>
            <w:shd w:val="clear" w:color="auto" w:fill="1E3A8A"/>
            <w:tcBorders>
              <w:top w:val="single" w:sz="4" w:space="0" w:color="D1D5DB"/>
              <w:left w:val="single" w:sz="4" w:space="0" w:color="D1D5DB"/>
              <w:bottom w:val="single" w:sz="4" w:space="0" w:color="D1D5DB"/>
              <w:right w:val="single" w:sz="4" w:space="0" w:color="D1D5DB"/>
            </w:tcBorders>
          </w:tcPr>
          <w:p>
            <w:r/>
            <w:r>
              <w:rPr>
                <w:b/>
                <w:color w:val="FFFFFF"/>
                <w:sz w:val="20"/>
              </w:rPr>
              <w:t>Definição</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NIS2</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Diretiva (UE) 2022/2555 relativa a medidas destinadas a garantir um elevado nível comum de cibersegurança em toda a União (substitui a NIS de 2016)</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DL 125/2025</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Decreto-Lei n.º 125/2025, de 4 de dezembro, que transpõe para Portugal a Diretiva NIS2</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CNCS</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Centro Nacional de Cibersegurança, autoridade competente NIS2 em Portugal (Art. 15.º DL 125/2025)</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CERT.PT</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Equipa de resposta a incidentes de segurança informática nacional integrada no CNCS</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OE</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Entidade Essencial (Art. 6.º DL 125/2025) — entidade sujeita a maiores obrigações e supervisão</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OI</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Entidade Importante (Art. 6.º DL 125/2025) — regime proporcional com supervisão ex-post</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SGSI</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Sistema de Gestão de Segurança da Informação (ISO/IEC 27001)</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CSIRT</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Computer Security Incident Response Team — equipa de resposta a incidentes</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SOC</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Security Operations Centre — centro de operações de segurança</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SIEM</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Security Information and Event Management — correlação e análise de logs</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EDR</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Endpoint Detection and Response — deteção e resposta em endpoints</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XDR</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Extended Detection and Response — deteção estendida (endpoints + rede + cloud)</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IAM</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Identity and Access Management — gestão de identidades e acessos</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PAM</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Privileged Access Management — gestão de acessos privilegiados</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MFA</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Multi-Factor Authentication — autenticação multifator</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SSO</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Single Sign-On — autenticação única</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DLP</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Data Loss Prevention — prevenção de fuga de dados</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DPIA</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Data Protection Impact Assessment (RGPD Art. 35.º) — avaliação de impacto sobre proteção de dados</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AIPD</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Avaliação de Impacto sobre a Proteção de Dados (equivalente PT-PT do DPIA)</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RTO</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Recovery Time Objective — tempo máximo de recuperação aceitável</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RPO</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Recovery Point Objective — perda máxima de dados aceitável</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MTTD</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Mean Time To Detect — tempo médio de deteção</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MTTR</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Mean Time To Respond/Recover — tempo médio de resposta ou recuperação</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IoC</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Indicator of Compromise — indicador de compromisso</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TLPT</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Threat-Led Penetration Testing — teste de penetração baseado em ameaças (DORA Art. 26.º)</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TTP</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Tactics, Techniques and Procedures — táticas, técnicas e procedimentos (MITRE ATT&amp;CK)</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CVE</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Common Vulnerabilities and Exposures — base de dados pública de vulnerabilidades</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CVSS</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Common Vulnerability Scoring System — sistema de pontuação de vulnerabilidades (0-10)</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RGPD</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Regulamento Geral sobre a Proteção de Dados (UE 2016/679)</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DORA</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Digital Operational Resilience Act — Regulamento (UE) 2022/2554 para o setor financeiro</w:t>
            </w:r>
          </w:p>
        </w:tc>
      </w:tr>
    </w:tbl>
    <w:p>
      <w:pPr>
        <w:pStyle w:val="Heading1"/>
      </w:pPr>
      <w:r>
        <w:rPr>
          <w:b/>
          <w:color w:val="1E3A8A"/>
          <w:sz w:val="28"/>
        </w:rPr>
        <w:t>3. Referências a outros templates NIS2</w:t>
      </w:r>
    </w:p>
    <w:p>
      <w:r>
        <w:rPr>
          <w:color w:val="374151"/>
          <w:sz w:val="22"/>
        </w:rPr>
        <w:t>Este template integra-se com o seguinte conjunto de políticas e procedimentos NIS2 disponibilizados em nis2-portugal.com/pages/templates.html:</w:t>
      </w:r>
    </w:p>
    <w:p>
      <w:r>
        <w:rPr>
          <w:color w:val="374151"/>
          <w:sz w:val="22"/>
        </w:rPr>
        <w:t xml:space="preserve">• </w:t>
      </w:r>
      <w:r>
        <w:rPr>
          <w:color w:val="374151"/>
          <w:sz w:val="22"/>
        </w:rPr>
        <w:t>Política de segurança da informação — documento de cúpula</w:t>
      </w:r>
    </w:p>
    <w:p>
      <w:r>
        <w:rPr>
          <w:color w:val="374151"/>
          <w:sz w:val="22"/>
        </w:rPr>
        <w:t xml:space="preserve">• </w:t>
      </w:r>
      <w:r>
        <w:rPr>
          <w:color w:val="374151"/>
          <w:sz w:val="22"/>
        </w:rPr>
        <w:t>Plano de resposta a incidentes — procedimento operacional</w:t>
      </w:r>
    </w:p>
    <w:p>
      <w:r>
        <w:rPr>
          <w:color w:val="374151"/>
          <w:sz w:val="22"/>
        </w:rPr>
        <w:t xml:space="preserve">• </w:t>
      </w:r>
      <w:r>
        <w:rPr>
          <w:color w:val="374151"/>
          <w:sz w:val="22"/>
        </w:rPr>
        <w:t>Matriz de riscos NIS2 — avaliação de riscos Art. 21.º</w:t>
      </w:r>
    </w:p>
    <w:p>
      <w:r>
        <w:rPr>
          <w:color w:val="374151"/>
          <w:sz w:val="22"/>
        </w:rPr>
        <w:t xml:space="preserve">• </w:t>
      </w:r>
      <w:r>
        <w:rPr>
          <w:color w:val="374151"/>
          <w:sz w:val="22"/>
        </w:rPr>
        <w:t>Plano de continuidade de negócio — BIA + DRP</w:t>
      </w:r>
    </w:p>
    <w:p>
      <w:r>
        <w:rPr>
          <w:color w:val="374151"/>
          <w:sz w:val="22"/>
        </w:rPr>
        <w:t xml:space="preserve">• </w:t>
      </w:r>
      <w:r>
        <w:rPr>
          <w:color w:val="374151"/>
          <w:sz w:val="22"/>
        </w:rPr>
        <w:t>Política de controlo de acessos — gestão IAM/PAM</w:t>
      </w:r>
    </w:p>
    <w:p>
      <w:r>
        <w:rPr>
          <w:color w:val="374151"/>
          <w:sz w:val="22"/>
        </w:rPr>
        <w:t xml:space="preserve">• </w:t>
      </w:r>
      <w:r>
        <w:rPr>
          <w:color w:val="374151"/>
          <w:sz w:val="22"/>
        </w:rPr>
        <w:t>Checklist de conformidade Art. 21.º — autoavaliação</w:t>
      </w:r>
    </w:p>
    <w:p>
      <w:r>
        <w:rPr>
          <w:color w:val="374151"/>
          <w:sz w:val="22"/>
        </w:rPr>
        <w:t xml:space="preserve">• </w:t>
      </w:r>
      <w:r>
        <w:rPr>
          <w:color w:val="374151"/>
          <w:sz w:val="22"/>
        </w:rPr>
        <w:t>Questionário de due diligence de fornecedores — cadeia de abastecimento</w:t>
      </w:r>
    </w:p>
    <w:p>
      <w:r>
        <w:rPr>
          <w:color w:val="374151"/>
          <w:sz w:val="22"/>
        </w:rPr>
        <w:t xml:space="preserve">• </w:t>
      </w:r>
      <w:r>
        <w:rPr>
          <w:color w:val="374151"/>
          <w:sz w:val="22"/>
        </w:rPr>
        <w:t>Programa de formação e sensibilização — Art. 20.º DL 125/2025</w:t>
      </w:r>
    </w:p>
    <w:p>
      <w:r>
        <w:rPr>
          <w:i/>
          <w:color w:val="374151"/>
          <w:sz w:val="20"/>
        </w:rPr>
        <w:t>Todos os templates referidos estão disponíveis para download gratuito em https://nis2-portugal.com/pages/templates.html. A utilização conjunta garante cobertura completa dos requisitos do Art. 21.º do DL 125/2025.</w:t>
      </w:r>
    </w:p>
    <w:sectPr>
      <w:headerReference w:type="default" r:id="rId6"/>
      <w:footerReference w:type="default" r:id="rId7"/>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1e3a8a" w:sz="6" w:space="1"/>
      </w:pBdr>
      <w:jc w:val="center"/>
    </w:pPr>
    <w:r>
      <w:rPr>
        <w:color w:val="9ca3af"/>
        <w:sz w:val="18"/>
        <w:szCs w:val="18"/>
        <w:rFonts w:ascii="Calibri" w:cs="Calibri" w:eastAsia="Calibri" w:hAnsi="Calibri"/>
      </w:rPr>
      <w:t xml:space="preserve">Confidencial  |  Página </w:t>
    </w:r>
    <w:r>
      <w:rPr>
        <w:color w:val="9ca3af"/>
        <w:sz w:val="18"/>
        <w:szCs w:val="18"/>
        <w:rFonts w:ascii="Calibri" w:cs="Calibri" w:eastAsia="Calibri" w:hAnsi="Calibri"/>
      </w:rPr>
      <w:fldChar w:fldCharType="begin"/>
      <w:instrText xml:space="preserve">PAGE</w:instrText>
      <w:fldChar w:fldCharType="separate"/>
      <w:fldChar w:fldCharType="end"/>
    </w:r>
    <w:r>
      <w:rPr>
        <w:color w:val="9ca3af"/>
        <w:sz w:val="18"/>
        <w:szCs w:val="18"/>
        <w:rFonts w:ascii="Calibri" w:cs="Calibri" w:eastAsia="Calibri" w:hAnsi="Calibri"/>
      </w:rPr>
      <w:t xml:space="preserve"> de </w:t>
    </w:r>
    <w:r>
      <w:rPr>
        <w:color w:val="9ca3af"/>
        <w:sz w:val="18"/>
        <w:szCs w:val="18"/>
        <w:rFonts w:ascii="Calibri" w:cs="Calibri" w:eastAsia="Calibri" w:hAnsi="Calibri"/>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e3a8a" w:sz="6" w:space="1"/>
      </w:pBdr>
      <w:jc w:val="right"/>
    </w:pPr>
    <w:r>
      <w:rPr>
        <w:color w:val="9ca3af"/>
        <w:sz w:val="18"/>
        <w:szCs w:val="18"/>
        <w:rFonts w:ascii="Calibri" w:cs="Calibri" w:eastAsia="Calibri" w:hAnsi="Calibri"/>
      </w:rPr>
      <w:t xml:space="preserve">Pronúncia em audiência prévia sobre a qualificação — Art. 8.º DL 125/2025 / Art. 9.º Reg. 756/2026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oter" Target="footer1.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NIS2 Portugal — nis2-portugal.com</dc:creator>
  <cp:lastModifiedBy>NIS2 Portugal</cp:lastModifiedBy>
  <cp:revision>1</cp:revision>
  <dcterms:created xsi:type="dcterms:W3CDTF">2026-09-14T21:29:07.633Z</dcterms:created>
  <dcterms:modified xsi:type="dcterms:W3CDTF">2026-09-14T21:29:07.633Z</dcterms:modified>
  <dc:title>Pronuncia audiencia previa qualificacao</dc:title>
  <dc:subject>Template NIS2 — conformidade DL 125/2025</dc:subject>
  <cp:keywords>NIS2, DL 125/2025, cibersegurança, conformidade, Portugal</cp:keywords>
  <cp:category>Template NIS2</cp:category>
  <dc:description>Template profissional gratuito disponibilizado em nis2-portugal.com</dc:description>
</cp:coreProperties>
</file>

<file path=docProps/custom.xml><?xml version="1.0" encoding="utf-8"?>
<Properties xmlns="http://schemas.openxmlformats.org/officeDocument/2006/custom-properties" xmlns:vt="http://schemas.openxmlformats.org/officeDocument/2006/docPropsVTypes"/>
</file>