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
      </w:pPr>
    </w:p>
    <w:p>
      <w:pPr>
        <w:spacing w:after="600"/>
        <w:jc w:val="center"/>
      </w:pPr>
      <w:r>
        <w:rPr>
          <w:i/>
          <w:iCs/>
          <w:color w:val="9ca3af"/>
          <w:sz w:val="22"/>
          <w:szCs w:val="22"/>
          <w:rFonts w:ascii="Calibri" w:cs="Calibri" w:eastAsia="Calibri" w:hAnsi="Calibri"/>
        </w:rPr>
        <w:t xml:space="preserve">[Nome da organização]</w:t>
      </w:r>
    </w:p>
    <w:p>
      <w:pPr>
        <w:spacing w:after="300"/>
        <w:jc w:val="center"/>
      </w:pPr>
      <w:r>
        <w:rPr>
          <w:b/>
          <w:bCs/>
          <w:color w:val="1e3a8a"/>
          <w:sz w:val="28"/>
          <w:szCs w:val="28"/>
          <w:rFonts w:ascii="Calibri" w:cs="Calibri" w:eastAsia="Calibri" w:hAnsi="Calibri"/>
        </w:rPr>
        <w:t xml:space="preserve">Relatório anual sobre o estado da cibersegurança</w:t>
      </w:r>
    </w:p>
    <w:p>
      <w:pPr>
        <w:spacing w:after="1200"/>
        <w:jc w:val="center"/>
      </w:pPr>
      <w:r>
        <w:rPr>
          <w:color w:val="374151"/>
          <w:sz w:val="22"/>
          <w:szCs w:val="22"/>
          <w:rFonts w:ascii="Calibri" w:cs="Calibri" w:eastAsia="Calibri" w:hAnsi="Calibri"/>
        </w:rPr>
        <w:t xml:space="preserve">Relatório anual — Art. 30.º do DL 125/2025 (regime jurídico da cibersegurança) e Art. 13.º do Regulamento n.º 756/2026</w:t>
      </w:r>
    </w:p>
    <w:p>
      <w:pPr>
        <w:spacing w:after="160"/>
        <w:jc w:val="center"/>
      </w:pPr>
      <w:r>
        <w:rPr>
          <w:b/>
          <w:bCs/>
          <w:color w:val="374151"/>
          <w:sz w:val="22"/>
          <w:szCs w:val="22"/>
          <w:rFonts w:ascii="Calibri" w:cs="Calibri" w:eastAsia="Calibri" w:hAnsi="Calibri"/>
        </w:rPr>
        <w:t xml:space="preserve">Versão: </w:t>
      </w:r>
      <w:r>
        <w:rPr>
          <w:color w:val="374151"/>
          <w:sz w:val="22"/>
          <w:szCs w:val="22"/>
          <w:rFonts w:ascii="Calibri" w:cs="Calibri" w:eastAsia="Calibri" w:hAnsi="Calibri"/>
        </w:rPr>
        <w:t xml:space="preserve">1.0</w:t>
      </w:r>
    </w:p>
    <w:p>
      <w:pPr>
        <w:spacing w:after="160"/>
        <w:jc w:val="center"/>
      </w:pPr>
      <w:r>
        <w:rPr>
          <w:b/>
          <w:bCs/>
          <w:color w:val="374151"/>
          <w:sz w:val="22"/>
          <w:szCs w:val="22"/>
          <w:rFonts w:ascii="Calibri" w:cs="Calibri" w:eastAsia="Calibri" w:hAnsi="Calibri"/>
        </w:rPr>
        <w:t xml:space="preserve">Data: </w:t>
      </w:r>
      <w:r>
        <w:rPr>
          <w:color w:val="374151"/>
          <w:sz w:val="22"/>
          <w:szCs w:val="22"/>
          <w:rFonts w:ascii="Calibri" w:cs="Calibri" w:eastAsia="Calibri" w:hAnsi="Calibri"/>
        </w:rPr>
        <w:t xml:space="preserve">14/09/2026</w:t>
      </w:r>
    </w:p>
    <w:p>
      <w:pPr>
        <w:spacing w:after="400"/>
        <w:jc w:val="center"/>
      </w:pPr>
      <w:r>
        <w:rPr>
          <w:b/>
          <w:bCs/>
          <w:color w:val="374151"/>
          <w:sz w:val="22"/>
          <w:szCs w:val="22"/>
          <w:rFonts w:ascii="Calibri" w:cs="Calibri" w:eastAsia="Calibri" w:hAnsi="Calibri"/>
        </w:rPr>
        <w:t xml:space="preserve">Classificação: </w:t>
      </w:r>
      <w:r>
        <w:rPr>
          <w:b/>
          <w:bCs/>
          <w:color w:val="dc2626"/>
          <w:sz w:val="22"/>
          <w:szCs w:val="22"/>
          <w:rFonts w:ascii="Calibri" w:cs="Calibri" w:eastAsia="Calibri" w:hAnsi="Calibri"/>
        </w:rPr>
        <w:t xml:space="preserve">Confidencial</w:t>
      </w:r>
    </w:p>
    <w:p>
      <w:r>
        <w:br w:type="page"/>
      </w:r>
    </w:p>
    <w:p>
      <w:pPr>
        <w:pStyle w:val="Heading2"/>
        <w:spacing w:before="320" w:after="160"/>
      </w:pPr>
      <w:r>
        <w:rPr>
          <w:b/>
          <w:bCs/>
          <w:color w:val="1e3a8a"/>
          <w:sz w:val="28"/>
          <w:szCs w:val="28"/>
          <w:rFonts w:ascii="Calibri" w:cs="Calibri" w:eastAsia="Calibri" w:hAnsi="Calibri"/>
        </w:rPr>
        <w:t xml:space="preserve">Controlo de versões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tblGrid>
      <w:tr>
        <w:trPr>
          <w:tblHeader/>
        </w:trPr>
        <w:tc>
          <w:tcPr>
            <w:shd w:color="1e3a8a" w:val="solid"/>
            <w:vAlign w:val="center"/>
          </w:tcPr>
          <w:p>
            <w:r>
              <w:rPr>
                <w:b/>
                <w:bCs/>
                <w:color w:val="ffffff"/>
                <w:sz w:val="22"/>
                <w:szCs w:val="22"/>
                <w:rFonts w:ascii="Calibri" w:cs="Calibri" w:eastAsia="Calibri" w:hAnsi="Calibri"/>
              </w:rPr>
              <w:t xml:space="preserve">Versão</w:t>
            </w:r>
          </w:p>
        </w:tc>
        <w:tc>
          <w:tcPr>
            <w:shd w:color="1e3a8a" w:val="solid"/>
            <w:vAlign w:val="center"/>
          </w:tcPr>
          <w:p>
            <w:r>
              <w:rPr>
                <w:b/>
                <w:bCs/>
                <w:color w:val="ffffff"/>
                <w:sz w:val="22"/>
                <w:szCs w:val="22"/>
                <w:rFonts w:ascii="Calibri" w:cs="Calibri" w:eastAsia="Calibri" w:hAnsi="Calibri"/>
              </w:rPr>
              <w:t xml:space="preserve">Data</w:t>
            </w:r>
          </w:p>
        </w:tc>
        <w:tc>
          <w:tcPr>
            <w:shd w:color="1e3a8a" w:val="solid"/>
            <w:vAlign w:val="center"/>
          </w:tcPr>
          <w:p>
            <w:r>
              <w:rPr>
                <w:b/>
                <w:bCs/>
                <w:color w:val="ffffff"/>
                <w:sz w:val="22"/>
                <w:szCs w:val="22"/>
                <w:rFonts w:ascii="Calibri" w:cs="Calibri" w:eastAsia="Calibri" w:hAnsi="Calibri"/>
              </w:rPr>
              <w:t xml:space="preserve">Autor</w:t>
            </w:r>
          </w:p>
        </w:tc>
        <w:tc>
          <w:tcPr>
            <w:shd w:color="1e3a8a" w:val="solid"/>
            <w:vAlign w:val="center"/>
          </w:tcPr>
          <w:p>
            <w:r>
              <w:rPr>
                <w:b/>
                <w:bCs/>
                <w:color w:val="ffffff"/>
                <w:sz w:val="22"/>
                <w:szCs w:val="22"/>
                <w:rFonts w:ascii="Calibri" w:cs="Calibri" w:eastAsia="Calibri" w:hAnsi="Calibri"/>
              </w:rPr>
              <w:t xml:space="preserve">Alterações</w:t>
            </w:r>
          </w:p>
        </w:tc>
        <w:tc>
          <w:tcPr>
            <w:shd w:color="1e3a8a" w:val="solid"/>
            <w:vAlign w:val="center"/>
          </w:tcPr>
          <w:p>
            <w:r>
              <w:rPr>
                <w:b/>
                <w:bCs/>
                <w:color w:val="ffffff"/>
                <w:sz w:val="22"/>
                <w:szCs w:val="22"/>
                <w:rFonts w:ascii="Calibri" w:cs="Calibri" w:eastAsia="Calibri" w:hAnsi="Calibri"/>
              </w:rPr>
              <w:t xml:space="preserve">Aprovado por</w:t>
            </w:r>
          </w:p>
        </w:tc>
      </w:tr>
      <w:tr>
        <w:tc>
          <w:p>
            <w:r>
              <w:rPr>
                <w:color w:val="374151"/>
                <w:sz w:val="22"/>
                <w:szCs w:val="22"/>
                <w:rFonts w:ascii="Calibri" w:cs="Calibri" w:eastAsia="Calibri" w:hAnsi="Calibri"/>
              </w:rPr>
              <w:t xml:space="preserve">1.0</w:t>
            </w:r>
          </w:p>
        </w:tc>
        <w:tc>
          <w:p>
            <w:r>
              <w:rPr>
                <w:color w:val="374151"/>
                <w:sz w:val="22"/>
                <w:szCs w:val="22"/>
                <w:rFonts w:ascii="Calibri" w:cs="Calibri" w:eastAsia="Calibri" w:hAnsi="Calibri"/>
              </w:rPr>
            </w:r>
          </w:p>
        </w:tc>
        <w:tc>
          <w:p>
            <w:r>
              <w:rPr>
                <w:color w:val="374151"/>
                <w:sz w:val="22"/>
                <w:szCs w:val="22"/>
                <w:rFonts w:ascii="Calibri" w:cs="Calibri" w:eastAsia="Calibri" w:hAnsi="Calibri"/>
              </w:rPr>
              <w:t xml:space="preserve">[Autor]</w:t>
            </w:r>
          </w:p>
        </w:tc>
        <w:tc>
          <w:p>
            <w:r>
              <w:rPr>
                <w:color w:val="374151"/>
                <w:sz w:val="22"/>
                <w:szCs w:val="22"/>
                <w:rFonts w:ascii="Calibri" w:cs="Calibri" w:eastAsia="Calibri" w:hAnsi="Calibri"/>
              </w:rPr>
              <w:t xml:space="preserve">Versão inicial</w:t>
            </w:r>
          </w:p>
        </w:tc>
        <w:tc>
          <w:p>
            <w:r>
              <w:rPr>
                <w:color w:val="374151"/>
                <w:sz w:val="22"/>
                <w:szCs w:val="22"/>
                <w:rFonts w:ascii="Calibri" w:cs="Calibri" w:eastAsia="Calibri" w:hAnsi="Calibri"/>
              </w:rPr>
              <w:t xml:space="preserve">[Aprovador]</w:t>
            </w:r>
          </w:p>
        </w:tc>
      </w:tr>
    </w:tbl>
    <w:p>
      <w:pPr>
        <w:pStyle w:val="Heading2"/>
        <w:spacing w:before="320" w:after="160"/>
      </w:pPr>
      <w:r>
        <w:rPr>
          <w:b/>
          <w:bCs/>
          <w:color w:val="1e3a8a"/>
          <w:sz w:val="28"/>
          <w:szCs w:val="28"/>
          <w:rFonts w:ascii="Calibri" w:cs="Calibri" w:eastAsia="Calibri" w:hAnsi="Calibri"/>
        </w:rPr>
        <w:t xml:space="preserve">Aviso importante sobre a exigibilidade</w:t>
      </w:r>
    </w:p>
    <w:p>
      <w:pPr>
        <w:pBdr>
          <w:left w:val="single" w:color="f97316" w:sz="24" w:space="8"/>
        </w:pBdr>
        <w:shd w:color="FEF3C7" w:val="solid"/>
        <w:spacing w:before="160" w:after="160"/>
        <w:ind w:left="360" w:right="360"/>
      </w:pPr>
      <w:r>
        <w:rPr>
          <w:b/>
          <w:bCs/>
          <w:color w:val="374151"/>
          <w:sz w:val="22"/>
          <w:szCs w:val="22"/>
          <w:rFonts w:ascii="Calibri" w:cs="Calibri" w:eastAsia="Calibri" w:hAnsi="Calibri"/>
        </w:rPr>
        <w:t xml:space="preserve">O Art. 30.º do DL 125/2025 consta da lista de normas diferidas pelo Art. 10.º n.º 2 do mesmo diploma ("os artigos 28.º a 30.º"). A obrigatoriedade de elaborar e submeter este relatório anual com conteúdo integral só produz efeitos 24 meses após a publicação da regulamentação do Regulamento n.º 756/2026, de 22 de junho (Diário da República, 2.ª série, n.º 118, de 22 de junho de 2026), ou seja, a partir de 22 de junho de 2028. Esta data está fixada pela publicação já ocorrida do Regulamento — não é uma estimativa. Até lá, recomenda-se a preparação antecipada do relatório como boa prática de gestão e como evidência de maturidade de cibersegurança, mas sem carácter de obrigatoriedade legal imediata.</w:t>
      </w:r>
    </w:p>
    <w:p>
      <w:r>
        <w:br w:type="page"/>
      </w:r>
    </w:p>
    <w:p>
      <w:pPr>
        <w:pStyle w:val="Heading1"/>
        <w:spacing w:before="400" w:after="200"/>
      </w:pPr>
      <w:r>
        <w:rPr>
          <w:b/>
          <w:bCs/>
          <w:color w:val="1e3a8a"/>
          <w:sz w:val="32"/>
          <w:szCs w:val="32"/>
          <w:rFonts w:ascii="Calibri" w:cs="Calibri" w:eastAsia="Calibri" w:hAnsi="Calibri"/>
        </w:rPr>
        <w:t xml:space="preserve">Como usar este documento</w:t>
      </w:r>
    </w:p>
    <w:p>
      <w:pPr>
        <w:spacing w:after="160"/>
      </w:pPr>
      <w:r>
        <w:rPr>
          <w:color w:val="374151"/>
          <w:sz w:val="22"/>
          <w:szCs w:val="22"/>
          <w:rFonts w:ascii="Calibri" w:cs="Calibri" w:eastAsia="Calibri" w:hAnsi="Calibri"/>
        </w:rPr>
        <w:t xml:space="preserve">Este template apoia a elaboração do relatório anual sobre o estado da cibersegurança previsto no Art. 30.º do DL 125/2025. Preencha os campos entre [parênteses retos] com a informação da sua organização, mantenha o relatório atualizado ano a ano e conserve as versões anteriores para efeitos de auditoria e de resposta a pedidos da autoridade de cibersegurança competente.</w:t>
      </w:r>
    </w:p>
    <w:p>
      <w:pPr>
        <w:pStyle w:val="ListParagraph"/>
        <w:numPr>
          <w:ilvl w:val="0"/>
          <w:numId w:val="1"/>
        </w:numPr>
        <w:spacing w:after="80"/>
      </w:pPr>
      <w:r>
        <w:rPr>
          <w:color w:val="374151"/>
          <w:sz w:val="22"/>
          <w:szCs w:val="22"/>
          <w:rFonts w:ascii="Calibri" w:cs="Calibri" w:eastAsia="Calibri" w:hAnsi="Calibri"/>
        </w:rPr>
        <w:t xml:space="preserve">Entidades essenciais: submetem o relatório anualmente à autoridade de cibersegurança competente, através da área reservada na plataforma eletrónica (MyCiber), devidamente assinado pelo responsável de cibersegurança.</w:t>
      </w:r>
    </w:p>
    <w:p>
      <w:pPr>
        <w:pStyle w:val="ListParagraph"/>
        <w:numPr>
          <w:ilvl w:val="0"/>
          <w:numId w:val="1"/>
        </w:numPr>
        <w:spacing w:after="80"/>
      </w:pPr>
      <w:r>
        <w:rPr>
          <w:color w:val="374151"/>
          <w:sz w:val="22"/>
          <w:szCs w:val="22"/>
          <w:rFonts w:ascii="Calibri" w:cs="Calibri" w:eastAsia="Calibri" w:hAnsi="Calibri"/>
        </w:rPr>
        <w:t xml:space="preserve">Entidades importantes: só têm de comunicar o relatório ao CNCS quando este for solicitado (Art. 30.º n.º 4 do DL 125/2025; Art. 13.º n.º 2 do Regulamento n.º 756/2026).</w:t>
      </w:r>
    </w:p>
    <w:p>
      <w:pPr>
        <w:pStyle w:val="ListParagraph"/>
        <w:numPr>
          <w:ilvl w:val="0"/>
          <w:numId w:val="1"/>
        </w:numPr>
        <w:spacing w:after="80"/>
      </w:pPr>
      <w:r>
        <w:rPr>
          <w:color w:val="374151"/>
          <w:sz w:val="22"/>
          <w:szCs w:val="22"/>
          <w:rFonts w:ascii="Calibri" w:cs="Calibri" w:eastAsia="Calibri" w:hAnsi="Calibri"/>
        </w:rPr>
        <w:t xml:space="preserve">Confirme junto do CNCS/MyCiber se já existe um modelo de utilização obrigatória para este relatório antes da submissão — o Art. 13.º n.º 3 do Regulamento prevê a disponibilização de um modelo obrigatório, mas não foi possível confirmar nesta versão do template se já está publicado.</w:t>
      </w:r>
    </w:p>
    <w:p>
      <w:pPr>
        <w:pStyle w:val="Heading1"/>
        <w:spacing w:before="400" w:after="200"/>
      </w:pPr>
      <w:r>
        <w:rPr>
          <w:b/>
          <w:bCs/>
          <w:color w:val="1e3a8a"/>
          <w:sz w:val="32"/>
          <w:szCs w:val="32"/>
          <w:rFonts w:ascii="Calibri" w:cs="Calibri" w:eastAsia="Calibri" w:hAnsi="Calibri"/>
        </w:rPr>
        <w:t xml:space="preserve">Enquadramento legal</w:t>
      </w:r>
    </w:p>
    <w:p>
      <w:pPr>
        <w:shd w:color="dbeafe" w:val="solid"/>
        <w:spacing w:before="160" w:after="160"/>
        <w:ind w:left="360" w:right="360"/>
      </w:pPr>
      <w:r>
        <w:rPr>
          <w:i/>
          <w:iCs/>
          <w:color w:val="1e3a8a"/>
          <w:sz w:val="22"/>
          <w:szCs w:val="22"/>
          <w:rFonts w:ascii="Calibri" w:cs="Calibri" w:eastAsia="Calibri" w:hAnsi="Calibri"/>
        </w:rPr>
        <w:t xml:space="preserve">Base legal principal: Art. 30.º do DL 125/2025 ("Relatório anual"); Art. 13.º do Regulamento n.º 756/2026 ("Comunicação de documentos"); diferimento de exigibilidade nos termos do Art. 10.º n.º 2 do DL 125/2025.</w:t>
      </w:r>
    </w:p>
    <w:p>
      <w:pPr>
        <w:spacing w:after="160"/>
      </w:pPr>
      <w:r>
        <w:rPr>
          <w:color w:val="374151"/>
          <w:sz w:val="22"/>
          <w:szCs w:val="22"/>
          <w:rFonts w:ascii="Calibri" w:cs="Calibri" w:eastAsia="Calibri" w:hAnsi="Calibri"/>
        </w:rPr>
        <w:t xml:space="preserve">Art. 30.º n.º 1 do DL 125/2025, citado integralmente: "As entidades essenciais e importantes devem elaborar e manter um relatório anual que contenha os seguintes elementos em relação ao ano civil a que se reportam: a) Descrição sumária das principais atividades desenvolvidas em matéria de segurança das redes e dos serviços de informação; b) Estatística trimestral de todos os incidentes, com indicação do número e do tipo dos incidentes; c) Análise agregada dos incidentes com impacto significativo, com informação sobre: i) Número de utilizadores afetados pela perturbação serviço; ii) Duração dos incidentes; iii) Distribuição geográfica, no que se refere à zona afetada pelos incidentes, incluindo a indicação de impacto transfronteiriço; d) Recomendações de atividades, de medidas ou de práticas que promovam a melhoria da segurança das redes e dos sistemas de informação; e) Problemas identificados e medidas implementadas na sequência dos incidentes; f) Qualquer outra informação que se considere relevante."</w:t>
      </w:r>
    </w:p>
    <w:p>
      <w:pPr>
        <w:spacing w:after="160"/>
      </w:pPr>
      <w:r>
        <w:rPr>
          <w:color w:val="374151"/>
          <w:sz w:val="22"/>
          <w:szCs w:val="22"/>
          <w:rFonts w:ascii="Calibri" w:cs="Calibri" w:eastAsia="Calibri" w:hAnsi="Calibri"/>
        </w:rPr>
        <w:t xml:space="preserve">Art. 30.º n.º 2 do DL 125/2025 exige que o relatório seja "devidamente assinado pelo responsável de cibersegurança" antes da submissão. Este requisito consta da secção de declaração e assinatura no final deste documento.</w:t>
      </w:r>
    </w:p>
    <w:p>
      <w:r>
        <w:br w:type="page"/>
      </w:r>
    </w:p>
    <w:p>
      <w:pPr>
        <w:pStyle w:val="Heading1"/>
        <w:spacing w:before="400" w:after="200"/>
      </w:pPr>
      <w:r>
        <w:rPr>
          <w:b/>
          <w:bCs/>
          <w:color w:val="1e3a8a"/>
          <w:sz w:val="32"/>
          <w:szCs w:val="32"/>
          <w:rFonts w:ascii="Calibri" w:cs="Calibri" w:eastAsia="Calibri" w:hAnsi="Calibri"/>
        </w:rPr>
        <w:t xml:space="preserve">1. Identificação da entidade</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rPr>
          <w:tblHeader/>
        </w:trPr>
        <w:tc>
          <w:tcPr>
            <w:tcW w:type="pct" w:w="40%"/>
            <w:shd w:color="1e3a8a" w:val="solid"/>
            <w:vAlign w:val="center"/>
          </w:tcPr>
          <w:p>
            <w:r>
              <w:rPr>
                <w:b/>
                <w:bCs/>
                <w:color w:val="ffffff"/>
                <w:sz w:val="22"/>
                <w:szCs w:val="22"/>
                <w:rFonts w:ascii="Calibri" w:cs="Calibri" w:eastAsia="Calibri" w:hAnsi="Calibri"/>
              </w:rPr>
              <w:t xml:space="preserve">Campo</w:t>
            </w:r>
          </w:p>
        </w:tc>
        <w:tc>
          <w:tcPr>
            <w:tcW w:type="pct" w:w="60%"/>
            <w:shd w:color="1e3a8a" w:val="solid"/>
            <w:vAlign w:val="center"/>
          </w:tcPr>
          <w:p>
            <w:r>
              <w:rPr>
                <w:b/>
                <w:bCs/>
                <w:color w:val="ffffff"/>
                <w:sz w:val="22"/>
                <w:szCs w:val="22"/>
                <w:rFonts w:ascii="Calibri" w:cs="Calibri" w:eastAsia="Calibri" w:hAnsi="Calibri"/>
              </w:rPr>
              <w:t xml:space="preserve">Valor</w:t>
            </w:r>
          </w:p>
        </w:tc>
      </w:tr>
      <w:tr>
        <w:tc>
          <w:tcPr>
            <w:shd w:color="f3f4f6" w:val="solid"/>
            <w:vAlign w:val="center"/>
          </w:tcPr>
          <w:p>
            <w:r>
              <w:rPr>
                <w:color w:val="374151"/>
                <w:sz w:val="22"/>
                <w:szCs w:val="22"/>
                <w:rFonts w:ascii="Calibri" w:cs="Calibri" w:eastAsia="Calibri" w:hAnsi="Calibri"/>
              </w:rPr>
              <w:t xml:space="preserve">Nome da entidade</w:t>
            </w:r>
          </w:p>
        </w:tc>
        <w:tc>
          <w:tcPr>
            <w:vAlign w:val="center"/>
          </w:tcPr>
          <w:p>
            <w:r>
              <w:rPr>
                <w:color w:val="374151"/>
                <w:sz w:val="22"/>
                <w:szCs w:val="22"/>
                <w:rFonts w:ascii="Calibri" w:cs="Calibri" w:eastAsia="Calibri" w:hAnsi="Calibri"/>
              </w:rPr>
              <w:t xml:space="preserve">[Nome da organização]</w:t>
            </w:r>
          </w:p>
        </w:tc>
      </w:tr>
      <w:tr>
        <w:tc>
          <w:tcPr>
            <w:shd w:color="f3f4f6" w:val="solid"/>
            <w:vAlign w:val="center"/>
          </w:tcPr>
          <w:p>
            <w:r>
              <w:rPr>
                <w:color w:val="374151"/>
                <w:sz w:val="22"/>
                <w:szCs w:val="22"/>
                <w:rFonts w:ascii="Calibri" w:cs="Calibri" w:eastAsia="Calibri" w:hAnsi="Calibri"/>
              </w:rPr>
              <w:t xml:space="preserve">NIF/NIPC</w:t>
            </w:r>
          </w:p>
        </w:tc>
        <w:tc>
          <w:tcPr>
            <w:vAlign w:val="center"/>
          </w:tcPr>
          <w:p>
            <w:r>
              <w:rPr>
                <w:color w:val="374151"/>
                <w:sz w:val="22"/>
                <w:szCs w:val="22"/>
                <w:rFonts w:ascii="Calibri" w:cs="Calibri" w:eastAsia="Calibri" w:hAnsi="Calibri"/>
              </w:rPr>
              <w:t xml:space="preserve">[Número]</w:t>
            </w:r>
          </w:p>
        </w:tc>
      </w:tr>
      <w:tr>
        <w:tc>
          <w:tcPr>
            <w:shd w:color="f3f4f6" w:val="solid"/>
            <w:vAlign w:val="center"/>
          </w:tcPr>
          <w:p>
            <w:r>
              <w:rPr>
                <w:color w:val="374151"/>
                <w:sz w:val="22"/>
                <w:szCs w:val="22"/>
                <w:rFonts w:ascii="Calibri" w:cs="Calibri" w:eastAsia="Calibri" w:hAnsi="Calibri"/>
              </w:rPr>
              <w:t xml:space="preserve">Setor de atividade (Anexo I/II do DL 125/2025)</w:t>
            </w:r>
          </w:p>
        </w:tc>
        <w:tc>
          <w:tcPr>
            <w:vAlign w:val="center"/>
          </w:tcPr>
          <w:p>
            <w:r>
              <w:rPr>
                <w:color w:val="374151"/>
                <w:sz w:val="22"/>
                <w:szCs w:val="22"/>
                <w:rFonts w:ascii="Calibri" w:cs="Calibri" w:eastAsia="Calibri" w:hAnsi="Calibri"/>
              </w:rPr>
              <w:t xml:space="preserve">[Setor/subsetor]</w:t>
            </w:r>
          </w:p>
        </w:tc>
      </w:tr>
      <w:tr>
        <w:tc>
          <w:tcPr>
            <w:shd w:color="f3f4f6" w:val="solid"/>
            <w:vAlign w:val="center"/>
          </w:tcPr>
          <w:p>
            <w:r>
              <w:rPr>
                <w:color w:val="374151"/>
                <w:sz w:val="22"/>
                <w:szCs w:val="22"/>
                <w:rFonts w:ascii="Calibri" w:cs="Calibri" w:eastAsia="Calibri" w:hAnsi="Calibri"/>
              </w:rPr>
              <w:t xml:space="preserve">Qualificação</w:t>
            </w:r>
          </w:p>
        </w:tc>
        <w:tc>
          <w:tcPr>
            <w:vAlign w:val="center"/>
          </w:tcPr>
          <w:p>
            <w:r>
              <w:rPr>
                <w:color w:val="374151"/>
                <w:sz w:val="22"/>
                <w:szCs w:val="22"/>
                <w:rFonts w:ascii="Calibri" w:cs="Calibri" w:eastAsia="Calibri" w:hAnsi="Calibri"/>
              </w:rPr>
              <w:t xml:space="preserve">[Entidade essencial/Entidade importante]</w:t>
            </w:r>
          </w:p>
        </w:tc>
      </w:tr>
      <w:tr>
        <w:tc>
          <w:tcPr>
            <w:shd w:color="f3f4f6" w:val="solid"/>
            <w:vAlign w:val="center"/>
          </w:tcPr>
          <w:p>
            <w:r>
              <w:rPr>
                <w:color w:val="374151"/>
                <w:sz w:val="22"/>
                <w:szCs w:val="22"/>
                <w:rFonts w:ascii="Calibri" w:cs="Calibri" w:eastAsia="Calibri" w:hAnsi="Calibri"/>
              </w:rPr>
              <w:t xml:space="preserve">Ano civil a que se reporta</w:t>
            </w:r>
          </w:p>
        </w:tc>
        <w:tc>
          <w:tcPr>
            <w:vAlign w:val="center"/>
          </w:tcPr>
          <w:p>
            <w:r>
              <w:rPr>
                <w:color w:val="374151"/>
                <w:sz w:val="22"/>
                <w:szCs w:val="22"/>
                <w:rFonts w:ascii="Calibri" w:cs="Calibri" w:eastAsia="Calibri" w:hAnsi="Calibri"/>
              </w:rPr>
              <w:t xml:space="preserve">[AAAA]</w:t>
            </w:r>
          </w:p>
        </w:tc>
      </w:tr>
      <w:tr>
        <w:tc>
          <w:tcPr>
            <w:shd w:color="f3f4f6" w:val="solid"/>
            <w:vAlign w:val="center"/>
          </w:tcPr>
          <w:p>
            <w:r>
              <w:rPr>
                <w:color w:val="374151"/>
                <w:sz w:val="22"/>
                <w:szCs w:val="22"/>
                <w:rFonts w:ascii="Calibri" w:cs="Calibri" w:eastAsia="Calibri" w:hAnsi="Calibri"/>
              </w:rPr>
              <w:t xml:space="preserve">Responsável de cibersegurança (Art. 31.º)</w:t>
            </w:r>
          </w:p>
        </w:tc>
        <w:tc>
          <w:tcPr>
            <w:vAlign w:val="center"/>
          </w:tcPr>
          <w:p>
            <w:r>
              <w:rPr>
                <w:color w:val="374151"/>
                <w:sz w:val="22"/>
                <w:szCs w:val="22"/>
                <w:rFonts w:ascii="Calibri" w:cs="Calibri" w:eastAsia="Calibri" w:hAnsi="Calibri"/>
              </w:rPr>
              <w:t xml:space="preserve">[Nome]</w:t>
            </w:r>
          </w:p>
        </w:tc>
      </w:tr>
      <w:tr>
        <w:tc>
          <w:tcPr>
            <w:shd w:color="f3f4f6" w:val="solid"/>
            <w:vAlign w:val="center"/>
          </w:tcPr>
          <w:p>
            <w:r>
              <w:rPr>
                <w:color w:val="374151"/>
                <w:sz w:val="22"/>
                <w:szCs w:val="22"/>
                <w:rFonts w:ascii="Calibri" w:cs="Calibri" w:eastAsia="Calibri" w:hAnsi="Calibri"/>
              </w:rPr>
              <w:t xml:space="preserve">Ponto de contacto permanente (Art. 32.º)</w:t>
            </w:r>
          </w:p>
        </w:tc>
        <w:tc>
          <w:tcPr>
            <w:vAlign w:val="center"/>
          </w:tcPr>
          <w:p>
            <w:r>
              <w:rPr>
                <w:color w:val="374151"/>
                <w:sz w:val="22"/>
                <w:szCs w:val="22"/>
                <w:rFonts w:ascii="Calibri" w:cs="Calibri" w:eastAsia="Calibri" w:hAnsi="Calibri"/>
              </w:rPr>
              <w:t xml:space="preserve">[Nome/contacto]</w:t>
            </w:r>
          </w:p>
        </w:tc>
      </w:tr>
      <w:tr>
        <w:tc>
          <w:tcPr>
            <w:shd w:color="f3f4f6" w:val="solid"/>
            <w:vAlign w:val="center"/>
          </w:tcPr>
          <w:p>
            <w:r>
              <w:rPr>
                <w:color w:val="374151"/>
                <w:sz w:val="22"/>
                <w:szCs w:val="22"/>
                <w:rFonts w:ascii="Calibri" w:cs="Calibri" w:eastAsia="Calibri" w:hAnsi="Calibri"/>
              </w:rPr>
              <w:t xml:space="preserve">Data de submissão prevista</w:t>
            </w:r>
          </w:p>
        </w:tc>
        <w:tc>
          <w:tcPr>
            <w:vAlign w:val="center"/>
          </w:tcPr>
          <w:p>
            <w:r>
              <w:rPr>
                <w:color w:val="374151"/>
                <w:sz w:val="22"/>
                <w:szCs w:val="22"/>
                <w:rFonts w:ascii="Calibri" w:cs="Calibri" w:eastAsia="Calibri" w:hAnsi="Calibri"/>
              </w:rPr>
              <w:t xml:space="preserve">[DD/MM/AAAA]</w:t>
            </w:r>
          </w:p>
        </w:tc>
      </w:tr>
    </w:tbl>
    <w:p>
      <w:pPr>
        <w:pStyle w:val="Heading1"/>
        <w:spacing w:before="400" w:after="200"/>
      </w:pPr>
      <w:r>
        <w:rPr>
          <w:b/>
          <w:bCs/>
          <w:color w:val="1e3a8a"/>
          <w:sz w:val="32"/>
          <w:szCs w:val="32"/>
          <w:rFonts w:ascii="Calibri" w:cs="Calibri" w:eastAsia="Calibri" w:hAnsi="Calibri"/>
        </w:rPr>
        <w:t xml:space="preserve">2. Descrição sumária das atividades de segurança das redes e sistemas de informação</w:t>
      </w:r>
    </w:p>
    <w:p>
      <w:pPr>
        <w:shd w:color="dbeafe" w:val="solid"/>
        <w:spacing w:before="160" w:after="160"/>
        <w:ind w:left="360" w:right="360"/>
      </w:pPr>
      <w:r>
        <w:rPr>
          <w:i/>
          <w:iCs/>
          <w:color w:val="1e3a8a"/>
          <w:sz w:val="22"/>
          <w:szCs w:val="22"/>
          <w:rFonts w:ascii="Calibri" w:cs="Calibri" w:eastAsia="Calibri" w:hAnsi="Calibri"/>
        </w:rPr>
        <w:t xml:space="preserve">Base legal: Art. 30.º n.º 1 alínea a) do DL 125/2025.</w:t>
      </w:r>
    </w:p>
    <w:p>
      <w:pPr>
        <w:spacing w:after="160"/>
      </w:pPr>
      <w:r>
        <w:rPr>
          <w:color w:val="374151"/>
          <w:sz w:val="22"/>
          <w:szCs w:val="22"/>
          <w:rFonts w:ascii="Calibri" w:cs="Calibri" w:eastAsia="Calibri" w:hAnsi="Calibri"/>
        </w:rPr>
        <w:t xml:space="preserve">[Descrever, de forma sumária, as principais atividades desenvolvidas no ano civil em matéria de segurança das redes e dos serviços de informação: revisões de política, exercícios de continuidade, formação e sensibilização, auditorias internas ou externas, investimentos em segurança, alterações à matriz de risco, entre outras.]</w:t>
      </w:r>
    </w:p>
    <w:p>
      <w:pPr>
        <w:pStyle w:val="Heading1"/>
        <w:spacing w:before="400" w:after="200"/>
      </w:pPr>
      <w:r>
        <w:rPr>
          <w:b/>
          <w:bCs/>
          <w:color w:val="1e3a8a"/>
          <w:sz w:val="32"/>
          <w:szCs w:val="32"/>
          <w:rFonts w:ascii="Calibri" w:cs="Calibri" w:eastAsia="Calibri" w:hAnsi="Calibri"/>
        </w:rPr>
        <w:t xml:space="preserve">3. Estatística trimestral de incidentes</w:t>
      </w:r>
    </w:p>
    <w:p>
      <w:pPr>
        <w:shd w:color="dbeafe" w:val="solid"/>
        <w:spacing w:before="160" w:after="160"/>
        <w:ind w:left="360" w:right="360"/>
      </w:pPr>
      <w:r>
        <w:rPr>
          <w:i/>
          <w:iCs/>
          <w:color w:val="1e3a8a"/>
          <w:sz w:val="22"/>
          <w:szCs w:val="22"/>
          <w:rFonts w:ascii="Calibri" w:cs="Calibri" w:eastAsia="Calibri" w:hAnsi="Calibri"/>
        </w:rPr>
        <w:t xml:space="preserve">Base legal: Art. 30.º n.º 1 alínea b) do DL 125/2025.</w:t>
      </w:r>
    </w:p>
    <w:p>
      <w:pPr>
        <w:spacing w:after="160"/>
      </w:pPr>
      <w:r>
        <w:rPr>
          <w:color w:val="374151"/>
          <w:sz w:val="22"/>
          <w:szCs w:val="22"/>
          <w:rFonts w:ascii="Calibri" w:cs="Calibri" w:eastAsia="Calibri" w:hAnsi="Calibri"/>
        </w:rPr>
        <w:t xml:space="preserve">A lei exige a estatística de "todos os incidentes", um universo mais amplo do que os incidentes com impacto significativo tratados na secção seguinte. Inclua aqui todos os incidentes registados, independentemente de terem sido ou não objeto de notificação ao CNCS nos termos dos Art. 40.º a 44.º.</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rPr>
          <w:tblHeader/>
        </w:trPr>
        <w:tc>
          <w:tcPr>
            <w:shd w:color="1e3a8a" w:val="solid"/>
            <w:vAlign w:val="center"/>
          </w:tcPr>
          <w:p>
            <w:r>
              <w:rPr>
                <w:b/>
                <w:bCs/>
                <w:color w:val="ffffff"/>
                <w:sz w:val="22"/>
                <w:szCs w:val="22"/>
                <w:rFonts w:ascii="Calibri" w:cs="Calibri" w:eastAsia="Calibri" w:hAnsi="Calibri"/>
              </w:rPr>
              <w:t xml:space="preserve">Trimestre</w:t>
            </w:r>
          </w:p>
        </w:tc>
        <w:tc>
          <w:tcPr>
            <w:shd w:color="1e3a8a" w:val="solid"/>
            <w:vAlign w:val="center"/>
          </w:tcPr>
          <w:p>
            <w:r>
              <w:rPr>
                <w:b/>
                <w:bCs/>
                <w:color w:val="ffffff"/>
                <w:sz w:val="22"/>
                <w:szCs w:val="22"/>
                <w:rFonts w:ascii="Calibri" w:cs="Calibri" w:eastAsia="Calibri" w:hAnsi="Calibri"/>
              </w:rPr>
              <w:t xml:space="preserve">N.º de incidentes</w:t>
            </w:r>
          </w:p>
        </w:tc>
        <w:tc>
          <w:tcPr>
            <w:shd w:color="1e3a8a" w:val="solid"/>
            <w:vAlign w:val="center"/>
          </w:tcPr>
          <w:p>
            <w:r>
              <w:rPr>
                <w:b/>
                <w:bCs/>
                <w:color w:val="ffffff"/>
                <w:sz w:val="22"/>
                <w:szCs w:val="22"/>
                <w:rFonts w:ascii="Calibri" w:cs="Calibri" w:eastAsia="Calibri" w:hAnsi="Calibri"/>
              </w:rPr>
              <w:t xml:space="preserve">Tipo(s) predominante(s)</w:t>
            </w:r>
          </w:p>
        </w:tc>
        <w:tc>
          <w:tcPr>
            <w:shd w:color="1e3a8a" w:val="solid"/>
            <w:vAlign w:val="center"/>
          </w:tcPr>
          <w:p>
            <w:r>
              <w:rPr>
                <w:b/>
                <w:bCs/>
                <w:color w:val="ffffff"/>
                <w:sz w:val="22"/>
                <w:szCs w:val="22"/>
                <w:rFonts w:ascii="Calibri" w:cs="Calibri" w:eastAsia="Calibri" w:hAnsi="Calibri"/>
              </w:rPr>
              <w:t xml:space="preserve">N.º notificados ao CNCS</w:t>
            </w:r>
          </w:p>
        </w:tc>
      </w:tr>
      <w:tr>
        <w:tc>
          <w:tcPr>
            <w:shd w:color="f3f4f6" w:val="solid"/>
            <w:vAlign w:val="center"/>
          </w:tcPr>
          <w:p>
            <w:r>
              <w:rPr>
                <w:color w:val="374151"/>
                <w:sz w:val="22"/>
                <w:szCs w:val="22"/>
                <w:rFonts w:ascii="Calibri" w:cs="Calibri" w:eastAsia="Calibri" w:hAnsi="Calibri"/>
              </w:rPr>
              <w:t xml:space="preserve">1.º trimestre (jan-mar)</w:t>
            </w:r>
          </w:p>
        </w:tc>
        <w:tc>
          <w:tcPr>
            <w:vAlign w:val="center"/>
          </w:tcPr>
          <w:p>
            <w:r>
              <w:rPr>
                <w:color w:val="374151"/>
                <w:sz w:val="22"/>
                <w:szCs w:val="22"/>
                <w:rFonts w:ascii="Calibri" w:cs="Calibri" w:eastAsia="Calibri" w:hAnsi="Calibri"/>
              </w:rPr>
              <w:t xml:space="preserve">[N.º]</w:t>
            </w:r>
          </w:p>
        </w:tc>
        <w:tc>
          <w:tcPr>
            <w:vAlign w:val="center"/>
          </w:tcPr>
          <w:p>
            <w:r>
              <w:rPr>
                <w:color w:val="374151"/>
                <w:sz w:val="22"/>
                <w:szCs w:val="22"/>
                <w:rFonts w:ascii="Calibri" w:cs="Calibri" w:eastAsia="Calibri" w:hAnsi="Calibri"/>
              </w:rPr>
              <w:t xml:space="preserve">[Tipo]</w:t>
            </w:r>
          </w:p>
        </w:tc>
        <w:tc>
          <w:tcPr>
            <w:vAlign w:val="center"/>
          </w:tcPr>
          <w:p>
            <w:r>
              <w:rPr>
                <w:color w:val="374151"/>
                <w:sz w:val="22"/>
                <w:szCs w:val="22"/>
                <w:rFonts w:ascii="Calibri" w:cs="Calibri" w:eastAsia="Calibri" w:hAnsi="Calibri"/>
              </w:rPr>
              <w:t xml:space="preserve">[N.º]</w:t>
            </w:r>
          </w:p>
        </w:tc>
      </w:tr>
      <w:tr>
        <w:tc>
          <w:tcPr>
            <w:shd w:color="f3f4f6" w:val="solid"/>
            <w:vAlign w:val="center"/>
          </w:tcPr>
          <w:p>
            <w:r>
              <w:rPr>
                <w:color w:val="374151"/>
                <w:sz w:val="22"/>
                <w:szCs w:val="22"/>
                <w:rFonts w:ascii="Calibri" w:cs="Calibri" w:eastAsia="Calibri" w:hAnsi="Calibri"/>
              </w:rPr>
              <w:t xml:space="preserve">2.º trimestre (abr-jun)</w:t>
            </w:r>
          </w:p>
        </w:tc>
        <w:tc>
          <w:tcPr>
            <w:vAlign w:val="center"/>
          </w:tcPr>
          <w:p>
            <w:r>
              <w:rPr>
                <w:color w:val="374151"/>
                <w:sz w:val="22"/>
                <w:szCs w:val="22"/>
                <w:rFonts w:ascii="Calibri" w:cs="Calibri" w:eastAsia="Calibri" w:hAnsi="Calibri"/>
              </w:rPr>
              <w:t xml:space="preserve">[N.º]</w:t>
            </w:r>
          </w:p>
        </w:tc>
        <w:tc>
          <w:tcPr>
            <w:vAlign w:val="center"/>
          </w:tcPr>
          <w:p>
            <w:r>
              <w:rPr>
                <w:color w:val="374151"/>
                <w:sz w:val="22"/>
                <w:szCs w:val="22"/>
                <w:rFonts w:ascii="Calibri" w:cs="Calibri" w:eastAsia="Calibri" w:hAnsi="Calibri"/>
              </w:rPr>
              <w:t xml:space="preserve">[Tipo]</w:t>
            </w:r>
          </w:p>
        </w:tc>
        <w:tc>
          <w:tcPr>
            <w:vAlign w:val="center"/>
          </w:tcPr>
          <w:p>
            <w:r>
              <w:rPr>
                <w:color w:val="374151"/>
                <w:sz w:val="22"/>
                <w:szCs w:val="22"/>
                <w:rFonts w:ascii="Calibri" w:cs="Calibri" w:eastAsia="Calibri" w:hAnsi="Calibri"/>
              </w:rPr>
              <w:t xml:space="preserve">[N.º]</w:t>
            </w:r>
          </w:p>
        </w:tc>
      </w:tr>
      <w:tr>
        <w:tc>
          <w:tcPr>
            <w:shd w:color="f3f4f6" w:val="solid"/>
            <w:vAlign w:val="center"/>
          </w:tcPr>
          <w:p>
            <w:r>
              <w:rPr>
                <w:color w:val="374151"/>
                <w:sz w:val="22"/>
                <w:szCs w:val="22"/>
                <w:rFonts w:ascii="Calibri" w:cs="Calibri" w:eastAsia="Calibri" w:hAnsi="Calibri"/>
              </w:rPr>
              <w:t xml:space="preserve">3.º trimestre (jul-set)</w:t>
            </w:r>
          </w:p>
        </w:tc>
        <w:tc>
          <w:tcPr>
            <w:vAlign w:val="center"/>
          </w:tcPr>
          <w:p>
            <w:r>
              <w:rPr>
                <w:color w:val="374151"/>
                <w:sz w:val="22"/>
                <w:szCs w:val="22"/>
                <w:rFonts w:ascii="Calibri" w:cs="Calibri" w:eastAsia="Calibri" w:hAnsi="Calibri"/>
              </w:rPr>
              <w:t xml:space="preserve">[N.º]</w:t>
            </w:r>
          </w:p>
        </w:tc>
        <w:tc>
          <w:tcPr>
            <w:vAlign w:val="center"/>
          </w:tcPr>
          <w:p>
            <w:r>
              <w:rPr>
                <w:color w:val="374151"/>
                <w:sz w:val="22"/>
                <w:szCs w:val="22"/>
                <w:rFonts w:ascii="Calibri" w:cs="Calibri" w:eastAsia="Calibri" w:hAnsi="Calibri"/>
              </w:rPr>
              <w:t xml:space="preserve">[Tipo]</w:t>
            </w:r>
          </w:p>
        </w:tc>
        <w:tc>
          <w:tcPr>
            <w:vAlign w:val="center"/>
          </w:tcPr>
          <w:p>
            <w:r>
              <w:rPr>
                <w:color w:val="374151"/>
                <w:sz w:val="22"/>
                <w:szCs w:val="22"/>
                <w:rFonts w:ascii="Calibri" w:cs="Calibri" w:eastAsia="Calibri" w:hAnsi="Calibri"/>
              </w:rPr>
              <w:t xml:space="preserve">[N.º]</w:t>
            </w:r>
          </w:p>
        </w:tc>
      </w:tr>
      <w:tr>
        <w:tc>
          <w:tcPr>
            <w:shd w:color="f3f4f6" w:val="solid"/>
            <w:vAlign w:val="center"/>
          </w:tcPr>
          <w:p>
            <w:r>
              <w:rPr>
                <w:color w:val="374151"/>
                <w:sz w:val="22"/>
                <w:szCs w:val="22"/>
                <w:rFonts w:ascii="Calibri" w:cs="Calibri" w:eastAsia="Calibri" w:hAnsi="Calibri"/>
              </w:rPr>
              <w:t xml:space="preserve">4.º trimestre (out-dez)</w:t>
            </w:r>
          </w:p>
        </w:tc>
        <w:tc>
          <w:tcPr>
            <w:vAlign w:val="center"/>
          </w:tcPr>
          <w:p>
            <w:r>
              <w:rPr>
                <w:color w:val="374151"/>
                <w:sz w:val="22"/>
                <w:szCs w:val="22"/>
                <w:rFonts w:ascii="Calibri" w:cs="Calibri" w:eastAsia="Calibri" w:hAnsi="Calibri"/>
              </w:rPr>
              <w:t xml:space="preserve">[N.º]</w:t>
            </w:r>
          </w:p>
        </w:tc>
        <w:tc>
          <w:tcPr>
            <w:vAlign w:val="center"/>
          </w:tcPr>
          <w:p>
            <w:r>
              <w:rPr>
                <w:color w:val="374151"/>
                <w:sz w:val="22"/>
                <w:szCs w:val="22"/>
                <w:rFonts w:ascii="Calibri" w:cs="Calibri" w:eastAsia="Calibri" w:hAnsi="Calibri"/>
              </w:rPr>
              <w:t xml:space="preserve">[Tipo]</w:t>
            </w:r>
          </w:p>
        </w:tc>
        <w:tc>
          <w:tcPr>
            <w:vAlign w:val="center"/>
          </w:tcPr>
          <w:p>
            <w:r>
              <w:rPr>
                <w:color w:val="374151"/>
                <w:sz w:val="22"/>
                <w:szCs w:val="22"/>
                <w:rFonts w:ascii="Calibri" w:cs="Calibri" w:eastAsia="Calibri" w:hAnsi="Calibri"/>
              </w:rPr>
              <w:t xml:space="preserve">[N.º]</w:t>
            </w:r>
          </w:p>
        </w:tc>
      </w:tr>
      <w:tr>
        <w:tc>
          <w:tcPr>
            <w:shd w:color="f3f4f6" w:val="solid"/>
            <w:vAlign w:val="center"/>
          </w:tcPr>
          <w:p>
            <w:r>
              <w:rPr>
                <w:color w:val="374151"/>
                <w:sz w:val="22"/>
                <w:szCs w:val="22"/>
                <w:rFonts w:ascii="Calibri" w:cs="Calibri" w:eastAsia="Calibri" w:hAnsi="Calibri"/>
              </w:rPr>
              <w:t xml:space="preserve">Total do ano</w:t>
            </w:r>
          </w:p>
        </w:tc>
        <w:tc>
          <w:tcPr>
            <w:vAlign w:val="center"/>
          </w:tcPr>
          <w:p>
            <w:r>
              <w:rPr>
                <w:color w:val="374151"/>
                <w:sz w:val="22"/>
                <w:szCs w:val="22"/>
                <w:rFonts w:ascii="Calibri" w:cs="Calibri" w:eastAsia="Calibri" w:hAnsi="Calibri"/>
              </w:rPr>
              <w:t xml:space="preserve">[N.º]</w:t>
            </w:r>
          </w:p>
        </w:tc>
        <w:tc>
          <w:tcPr>
            <w:vAlign w:val="center"/>
          </w:tcPr>
          <w:p>
            <w:r>
              <w:rPr>
                <w:color w:val="374151"/>
                <w:sz w:val="22"/>
                <w:szCs w:val="22"/>
                <w:rFonts w:ascii="Calibri" w:cs="Calibri" w:eastAsia="Calibri" w:hAnsi="Calibri"/>
              </w:rPr>
              <w:t xml:space="preserve">—</w:t>
            </w:r>
          </w:p>
        </w:tc>
        <w:tc>
          <w:tcPr>
            <w:vAlign w:val="center"/>
          </w:tcPr>
          <w:p>
            <w:r>
              <w:rPr>
                <w:color w:val="374151"/>
                <w:sz w:val="22"/>
                <w:szCs w:val="22"/>
                <w:rFonts w:ascii="Calibri" w:cs="Calibri" w:eastAsia="Calibri" w:hAnsi="Calibri"/>
              </w:rPr>
              <w:t xml:space="preserve">[N.º]</w:t>
            </w:r>
          </w:p>
        </w:tc>
      </w:tr>
    </w:tbl>
    <w:p>
      <w:pPr>
        <w:pStyle w:val="Heading1"/>
        <w:spacing w:before="400" w:after="200"/>
      </w:pPr>
      <w:r>
        <w:rPr>
          <w:b/>
          <w:bCs/>
          <w:color w:val="1e3a8a"/>
          <w:sz w:val="32"/>
          <w:szCs w:val="32"/>
          <w:rFonts w:ascii="Calibri" w:cs="Calibri" w:eastAsia="Calibri" w:hAnsi="Calibri"/>
        </w:rPr>
        <w:t xml:space="preserve">4. Análise agregada dos incidentes com impacto significativo</w:t>
      </w:r>
    </w:p>
    <w:p>
      <w:pPr>
        <w:shd w:color="dbeafe" w:val="solid"/>
        <w:spacing w:before="160" w:after="160"/>
        <w:ind w:left="360" w:right="360"/>
      </w:pPr>
      <w:r>
        <w:rPr>
          <w:i/>
          <w:iCs/>
          <w:color w:val="1e3a8a"/>
          <w:sz w:val="22"/>
          <w:szCs w:val="22"/>
          <w:rFonts w:ascii="Calibri" w:cs="Calibri" w:eastAsia="Calibri" w:hAnsi="Calibri"/>
        </w:rPr>
        <w:t xml:space="preserve">Base legal: Art. 30.º n.º 1 alínea c), subalíneas i) a iii), do DL 125/2025.</w:t>
      </w:r>
    </w:p>
    <w:p>
      <w:pPr>
        <w:spacing w:after="160"/>
      </w:pPr>
      <w:r>
        <w:rPr>
          <w:color w:val="374151"/>
          <w:sz w:val="22"/>
          <w:szCs w:val="22"/>
          <w:rFonts w:ascii="Calibri" w:cs="Calibri" w:eastAsia="Calibri" w:hAnsi="Calibri"/>
        </w:rPr>
        <w:t xml:space="preserve">[Considerar apenas os incidentes que atingiram o limiar de significância definido no Art. 40.º n.º 3 e no Art. 41.º do DL 125/2025.]</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rPr>
          <w:tblHeader/>
        </w:trPr>
        <w:tc>
          <w:tcPr>
            <w:shd w:color="1e3a8a" w:val="solid"/>
            <w:vAlign w:val="center"/>
          </w:tcPr>
          <w:p>
            <w:r>
              <w:rPr>
                <w:b/>
                <w:bCs/>
                <w:color w:val="ffffff"/>
                <w:sz w:val="22"/>
                <w:szCs w:val="22"/>
                <w:rFonts w:ascii="Calibri" w:cs="Calibri" w:eastAsia="Calibri" w:hAnsi="Calibri"/>
              </w:rPr>
              <w:t xml:space="preserve">Indicador</w:t>
            </w:r>
          </w:p>
        </w:tc>
        <w:tc>
          <w:tcPr>
            <w:shd w:color="1e3a8a" w:val="solid"/>
            <w:vAlign w:val="center"/>
          </w:tcPr>
          <w:p>
            <w:r>
              <w:rPr>
                <w:b/>
                <w:bCs/>
                <w:color w:val="ffffff"/>
                <w:sz w:val="22"/>
                <w:szCs w:val="22"/>
                <w:rFonts w:ascii="Calibri" w:cs="Calibri" w:eastAsia="Calibri" w:hAnsi="Calibri"/>
              </w:rPr>
              <w:t xml:space="preserve">Valor agregado no ano</w:t>
            </w:r>
          </w:p>
        </w:tc>
      </w:tr>
      <w:tr>
        <w:tc>
          <w:tcPr>
            <w:shd w:color="f3f4f6" w:val="solid"/>
            <w:vAlign w:val="center"/>
          </w:tcPr>
          <w:p>
            <w:r>
              <w:rPr>
                <w:color w:val="374151"/>
                <w:sz w:val="22"/>
                <w:szCs w:val="22"/>
                <w:rFonts w:ascii="Calibri" w:cs="Calibri" w:eastAsia="Calibri" w:hAnsi="Calibri"/>
              </w:rPr>
              <w:t xml:space="preserve">Número de utilizadores afetados pela perturbação de serviço</w:t>
            </w:r>
          </w:p>
        </w:tc>
        <w:tc>
          <w:tcPr>
            <w:vAlign w:val="center"/>
          </w:tcPr>
          <w:p>
            <w:r>
              <w:rPr>
                <w:color w:val="374151"/>
                <w:sz w:val="22"/>
                <w:szCs w:val="22"/>
                <w:rFonts w:ascii="Calibri" w:cs="Calibri" w:eastAsia="Calibri" w:hAnsi="Calibri"/>
              </w:rPr>
              <w:t xml:space="preserve">[Número]</w:t>
            </w:r>
          </w:p>
        </w:tc>
      </w:tr>
      <w:tr>
        <w:tc>
          <w:tcPr>
            <w:shd w:color="f3f4f6" w:val="solid"/>
            <w:vAlign w:val="center"/>
          </w:tcPr>
          <w:p>
            <w:r>
              <w:rPr>
                <w:color w:val="374151"/>
                <w:sz w:val="22"/>
                <w:szCs w:val="22"/>
                <w:rFonts w:ascii="Calibri" w:cs="Calibri" w:eastAsia="Calibri" w:hAnsi="Calibri"/>
              </w:rPr>
              <w:t xml:space="preserve">Duração total/média dos incidentes significativos</w:t>
            </w:r>
          </w:p>
        </w:tc>
        <w:tc>
          <w:tcPr>
            <w:vAlign w:val="center"/>
          </w:tcPr>
          <w:p>
            <w:r>
              <w:rPr>
                <w:color w:val="374151"/>
                <w:sz w:val="22"/>
                <w:szCs w:val="22"/>
                <w:rFonts w:ascii="Calibri" w:cs="Calibri" w:eastAsia="Calibri" w:hAnsi="Calibri"/>
              </w:rPr>
              <w:t xml:space="preserve">[Horas/dias]</w:t>
            </w:r>
          </w:p>
        </w:tc>
      </w:tr>
      <w:tr>
        <w:tc>
          <w:tcPr>
            <w:shd w:color="f3f4f6" w:val="solid"/>
            <w:vAlign w:val="center"/>
          </w:tcPr>
          <w:p>
            <w:r>
              <w:rPr>
                <w:color w:val="374151"/>
                <w:sz w:val="22"/>
                <w:szCs w:val="22"/>
                <w:rFonts w:ascii="Calibri" w:cs="Calibri" w:eastAsia="Calibri" w:hAnsi="Calibri"/>
              </w:rPr>
              <w:t xml:space="preserve">Distribuição geográfica da zona afetada</w:t>
            </w:r>
          </w:p>
        </w:tc>
        <w:tc>
          <w:tcPr>
            <w:vAlign w:val="center"/>
          </w:tcPr>
          <w:p>
            <w:r>
              <w:rPr>
                <w:color w:val="374151"/>
                <w:sz w:val="22"/>
                <w:szCs w:val="22"/>
                <w:rFonts w:ascii="Calibri" w:cs="Calibri" w:eastAsia="Calibri" w:hAnsi="Calibri"/>
              </w:rPr>
              <w:t xml:space="preserve">[Regiões/países]</w:t>
            </w:r>
          </w:p>
        </w:tc>
      </w:tr>
      <w:tr>
        <w:tc>
          <w:tcPr>
            <w:shd w:color="f3f4f6" w:val="solid"/>
            <w:vAlign w:val="center"/>
          </w:tcPr>
          <w:p>
            <w:r>
              <w:rPr>
                <w:color w:val="374151"/>
                <w:sz w:val="22"/>
                <w:szCs w:val="22"/>
                <w:rFonts w:ascii="Calibri" w:cs="Calibri" w:eastAsia="Calibri" w:hAnsi="Calibri"/>
              </w:rPr>
              <w:t xml:space="preserve">Incidentes com impacto transfronteiriço</w:t>
            </w:r>
          </w:p>
        </w:tc>
        <w:tc>
          <w:tcPr>
            <w:vAlign w:val="center"/>
          </w:tcPr>
          <w:p>
            <w:r>
              <w:rPr>
                <w:color w:val="374151"/>
                <w:sz w:val="22"/>
                <w:szCs w:val="22"/>
                <w:rFonts w:ascii="Calibri" w:cs="Calibri" w:eastAsia="Calibri" w:hAnsi="Calibri"/>
              </w:rPr>
              <w:t xml:space="preserve">[Sim/Não — detalhar]</w:t>
            </w:r>
          </w:p>
        </w:tc>
      </w:tr>
    </w:tbl>
    <w:p>
      <w:pPr>
        <w:pStyle w:val="Heading1"/>
        <w:spacing w:before="400" w:after="200"/>
      </w:pPr>
      <w:r>
        <w:rPr>
          <w:b/>
          <w:bCs/>
          <w:color w:val="1e3a8a"/>
          <w:sz w:val="32"/>
          <w:szCs w:val="32"/>
          <w:rFonts w:ascii="Calibri" w:cs="Calibri" w:eastAsia="Calibri" w:hAnsi="Calibri"/>
        </w:rPr>
        <w:t xml:space="preserve">5. Recomendações de atividades, medidas ou práticas</w:t>
      </w:r>
    </w:p>
    <w:p>
      <w:pPr>
        <w:shd w:color="dbeafe" w:val="solid"/>
        <w:spacing w:before="160" w:after="160"/>
        <w:ind w:left="360" w:right="360"/>
      </w:pPr>
      <w:r>
        <w:rPr>
          <w:i/>
          <w:iCs/>
          <w:color w:val="1e3a8a"/>
          <w:sz w:val="22"/>
          <w:szCs w:val="22"/>
          <w:rFonts w:ascii="Calibri" w:cs="Calibri" w:eastAsia="Calibri" w:hAnsi="Calibri"/>
        </w:rPr>
        <w:t xml:space="preserve">Base legal: Art. 30.º n.º 1 alínea d) do DL 125/2025.</w:t>
      </w:r>
    </w:p>
    <w:p>
      <w:pPr>
        <w:spacing w:after="160"/>
      </w:pPr>
      <w:r>
        <w:rPr>
          <w:color w:val="374151"/>
          <w:sz w:val="22"/>
          <w:szCs w:val="22"/>
          <w:rFonts w:ascii="Calibri" w:cs="Calibri" w:eastAsia="Calibri" w:hAnsi="Calibri"/>
        </w:rPr>
        <w:t xml:space="preserve">[Indicar as recomendações que a entidade considera relevantes para promover a melhoria da segurança das redes e dos sistemas de informação, próprias ou dirigidas a terceiros da cadeia de abastecimento (Art. 28.º).]</w:t>
      </w:r>
    </w:p>
    <w:p>
      <w:pPr>
        <w:pStyle w:val="Heading1"/>
        <w:spacing w:before="400" w:after="200"/>
      </w:pPr>
      <w:r>
        <w:rPr>
          <w:b/>
          <w:bCs/>
          <w:color w:val="1e3a8a"/>
          <w:sz w:val="32"/>
          <w:szCs w:val="32"/>
          <w:rFonts w:ascii="Calibri" w:cs="Calibri" w:eastAsia="Calibri" w:hAnsi="Calibri"/>
        </w:rPr>
        <w:t xml:space="preserve">6. Problemas identificados e medidas implementadas na sequência dos incidentes</w:t>
      </w:r>
    </w:p>
    <w:p>
      <w:pPr>
        <w:shd w:color="dbeafe" w:val="solid"/>
        <w:spacing w:before="160" w:after="160"/>
        <w:ind w:left="360" w:right="360"/>
      </w:pPr>
      <w:r>
        <w:rPr>
          <w:i/>
          <w:iCs/>
          <w:color w:val="1e3a8a"/>
          <w:sz w:val="22"/>
          <w:szCs w:val="22"/>
          <w:rFonts w:ascii="Calibri" w:cs="Calibri" w:eastAsia="Calibri" w:hAnsi="Calibri"/>
        </w:rPr>
        <w:t xml:space="preserve">Base legal: Art. 30.º n.º 1 alínea e) do DL 125/2025.</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rPr>
          <w:tblHeader/>
        </w:trPr>
        <w:tc>
          <w:tcPr>
            <w:shd w:color="1e3a8a" w:val="solid"/>
            <w:vAlign w:val="center"/>
          </w:tcPr>
          <w:p>
            <w:r>
              <w:rPr>
                <w:b/>
                <w:bCs/>
                <w:color w:val="ffffff"/>
                <w:sz w:val="22"/>
                <w:szCs w:val="22"/>
                <w:rFonts w:ascii="Calibri" w:cs="Calibri" w:eastAsia="Calibri" w:hAnsi="Calibri"/>
              </w:rPr>
              <w:t xml:space="preserve">Problema identificado</w:t>
            </w:r>
          </w:p>
        </w:tc>
        <w:tc>
          <w:tcPr>
            <w:shd w:color="1e3a8a" w:val="solid"/>
            <w:vAlign w:val="center"/>
          </w:tcPr>
          <w:p>
            <w:r>
              <w:rPr>
                <w:b/>
                <w:bCs/>
                <w:color w:val="ffffff"/>
                <w:sz w:val="22"/>
                <w:szCs w:val="22"/>
                <w:rFonts w:ascii="Calibri" w:cs="Calibri" w:eastAsia="Calibri" w:hAnsi="Calibri"/>
              </w:rPr>
              <w:t xml:space="preserve">Incidente(s) relacionado(s)</w:t>
            </w:r>
          </w:p>
        </w:tc>
        <w:tc>
          <w:tcPr>
            <w:shd w:color="1e3a8a" w:val="solid"/>
            <w:vAlign w:val="center"/>
          </w:tcPr>
          <w:p>
            <w:r>
              <w:rPr>
                <w:b/>
                <w:bCs/>
                <w:color w:val="ffffff"/>
                <w:sz w:val="22"/>
                <w:szCs w:val="22"/>
                <w:rFonts w:ascii="Calibri" w:cs="Calibri" w:eastAsia="Calibri" w:hAnsi="Calibri"/>
              </w:rPr>
              <w:t xml:space="preserve">Medida implementada</w:t>
            </w:r>
          </w:p>
        </w:tc>
        <w:tc>
          <w:tcPr>
            <w:shd w:color="1e3a8a" w:val="solid"/>
            <w:vAlign w:val="center"/>
          </w:tcPr>
          <w:p>
            <w:r>
              <w:rPr>
                <w:b/>
                <w:bCs/>
                <w:color w:val="ffffff"/>
                <w:sz w:val="22"/>
                <w:szCs w:val="22"/>
                <w:rFonts w:ascii="Calibri" w:cs="Calibri" w:eastAsia="Calibri" w:hAnsi="Calibri"/>
              </w:rPr>
              <w:t xml:space="preserve">Data de conclusão</w:t>
            </w:r>
          </w:p>
        </w:tc>
      </w:tr>
      <w:tr>
        <w:tc>
          <w:tcPr>
            <w:shd w:color="f3f4f6" w:val="solid"/>
            <w:vAlign w:val="center"/>
          </w:tcPr>
          <w:p>
            <w:r>
              <w:rPr>
                <w:color w:val="374151"/>
                <w:sz w:val="22"/>
                <w:szCs w:val="22"/>
                <w:rFonts w:ascii="Calibri" w:cs="Calibri" w:eastAsia="Calibri" w:hAnsi="Calibri"/>
              </w:rPr>
              <w:t xml:space="preserve">[Descrição]</w:t>
            </w:r>
          </w:p>
        </w:tc>
        <w:tc>
          <w:tcPr>
            <w:vAlign w:val="center"/>
          </w:tcPr>
          <w:p>
            <w:r>
              <w:rPr>
                <w:color w:val="374151"/>
                <w:sz w:val="22"/>
                <w:szCs w:val="22"/>
                <w:rFonts w:ascii="Calibri" w:cs="Calibri" w:eastAsia="Calibri" w:hAnsi="Calibri"/>
              </w:rPr>
              <w:t xml:space="preserve">[Referência]</w:t>
            </w:r>
          </w:p>
        </w:tc>
        <w:tc>
          <w:tcPr>
            <w:vAlign w:val="center"/>
          </w:tcPr>
          <w:p>
            <w:r>
              <w:rPr>
                <w:color w:val="374151"/>
                <w:sz w:val="22"/>
                <w:szCs w:val="22"/>
                <w:rFonts w:ascii="Calibri" w:cs="Calibri" w:eastAsia="Calibri" w:hAnsi="Calibri"/>
              </w:rPr>
              <w:t xml:space="preserve">[Descrição]</w:t>
            </w:r>
          </w:p>
        </w:tc>
        <w:tc>
          <w:tcPr>
            <w:vAlign w:val="center"/>
          </w:tcPr>
          <w:p>
            <w:r>
              <w:rPr>
                <w:color w:val="374151"/>
                <w:sz w:val="22"/>
                <w:szCs w:val="22"/>
                <w:rFonts w:ascii="Calibri" w:cs="Calibri" w:eastAsia="Calibri" w:hAnsi="Calibri"/>
              </w:rPr>
              <w:t xml:space="preserve">[DD/MM/AAAA]</w:t>
            </w:r>
          </w:p>
        </w:tc>
      </w:tr>
      <w:tr>
        <w:tc>
          <w:tcPr>
            <w:shd w:color="f3f4f6" w:val="solid"/>
            <w:vAlign w:val="center"/>
          </w:tcPr>
          <w:p>
            <w:r>
              <w:rPr>
                <w:color w:val="374151"/>
                <w:sz w:val="22"/>
                <w:szCs w:val="22"/>
                <w:rFonts w:ascii="Calibri" w:cs="Calibri" w:eastAsia="Calibri" w:hAnsi="Calibri"/>
              </w:rPr>
              <w:t xml:space="preserve">[Descrição]</w:t>
            </w:r>
          </w:p>
        </w:tc>
        <w:tc>
          <w:tcPr>
            <w:vAlign w:val="center"/>
          </w:tcPr>
          <w:p>
            <w:r>
              <w:rPr>
                <w:color w:val="374151"/>
                <w:sz w:val="22"/>
                <w:szCs w:val="22"/>
                <w:rFonts w:ascii="Calibri" w:cs="Calibri" w:eastAsia="Calibri" w:hAnsi="Calibri"/>
              </w:rPr>
              <w:t xml:space="preserve">[Referência]</w:t>
            </w:r>
          </w:p>
        </w:tc>
        <w:tc>
          <w:tcPr>
            <w:vAlign w:val="center"/>
          </w:tcPr>
          <w:p>
            <w:r>
              <w:rPr>
                <w:color w:val="374151"/>
                <w:sz w:val="22"/>
                <w:szCs w:val="22"/>
                <w:rFonts w:ascii="Calibri" w:cs="Calibri" w:eastAsia="Calibri" w:hAnsi="Calibri"/>
              </w:rPr>
              <w:t xml:space="preserve">[Descrição]</w:t>
            </w:r>
          </w:p>
        </w:tc>
        <w:tc>
          <w:tcPr>
            <w:vAlign w:val="center"/>
          </w:tcPr>
          <w:p>
            <w:r>
              <w:rPr>
                <w:color w:val="374151"/>
                <w:sz w:val="22"/>
                <w:szCs w:val="22"/>
                <w:rFonts w:ascii="Calibri" w:cs="Calibri" w:eastAsia="Calibri" w:hAnsi="Calibri"/>
              </w:rPr>
              <w:t xml:space="preserve">[DD/MM/AAAA]</w:t>
            </w:r>
          </w:p>
        </w:tc>
      </w:tr>
    </w:tbl>
    <w:p>
      <w:pPr>
        <w:pStyle w:val="Heading1"/>
        <w:spacing w:before="400" w:after="200"/>
      </w:pPr>
      <w:r>
        <w:rPr>
          <w:b/>
          <w:bCs/>
          <w:color w:val="1e3a8a"/>
          <w:sz w:val="32"/>
          <w:szCs w:val="32"/>
          <w:rFonts w:ascii="Calibri" w:cs="Calibri" w:eastAsia="Calibri" w:hAnsi="Calibri"/>
        </w:rPr>
        <w:t xml:space="preserve">7. Qualquer outra informação relevante</w:t>
      </w:r>
    </w:p>
    <w:p>
      <w:pPr>
        <w:shd w:color="dbeafe" w:val="solid"/>
        <w:spacing w:before="160" w:after="160"/>
        <w:ind w:left="360" w:right="360"/>
      </w:pPr>
      <w:r>
        <w:rPr>
          <w:i/>
          <w:iCs/>
          <w:color w:val="1e3a8a"/>
          <w:sz w:val="22"/>
          <w:szCs w:val="22"/>
          <w:rFonts w:ascii="Calibri" w:cs="Calibri" w:eastAsia="Calibri" w:hAnsi="Calibri"/>
        </w:rPr>
        <w:t xml:space="preserve">Base legal: Art. 30.º n.º 1 alínea f) do DL 125/2025.</w:t>
      </w:r>
    </w:p>
    <w:p>
      <w:pPr>
        <w:spacing w:after="160"/>
      </w:pPr>
      <w:r>
        <w:rPr>
          <w:color w:val="374151"/>
          <w:sz w:val="22"/>
          <w:szCs w:val="22"/>
          <w:rFonts w:ascii="Calibri" w:cs="Calibri" w:eastAsia="Calibri" w:hAnsi="Calibri"/>
        </w:rPr>
        <w:t xml:space="preserve">[Incluir qualquer informação adicional considerada relevante pela entidade, não abrangida pelas alíneas anteriores: alterações à qualificação, participação em exercícios setoriais, cooperação com outras autoridades, entre outras.]</w:t>
      </w:r>
    </w:p>
    <w:p>
      <w:r>
        <w:br w:type="page"/>
      </w:r>
    </w:p>
    <w:p>
      <w:pPr>
        <w:pStyle w:val="Heading1"/>
        <w:spacing w:before="400" w:after="200"/>
      </w:pPr>
      <w:r>
        <w:rPr>
          <w:b/>
          <w:bCs/>
          <w:color w:val="1e3a8a"/>
          <w:sz w:val="32"/>
          <w:szCs w:val="32"/>
          <w:rFonts w:ascii="Calibri" w:cs="Calibri" w:eastAsia="Calibri" w:hAnsi="Calibri"/>
        </w:rPr>
        <w:t xml:space="preserve">8. Prazos de submissão e destinatário</w:t>
      </w:r>
    </w:p>
    <w:p>
      <w:pPr>
        <w:shd w:color="dbeafe" w:val="solid"/>
        <w:spacing w:before="160" w:after="160"/>
        <w:ind w:left="360" w:right="360"/>
      </w:pPr>
      <w:r>
        <w:rPr>
          <w:i/>
          <w:iCs/>
          <w:color w:val="1e3a8a"/>
          <w:sz w:val="22"/>
          <w:szCs w:val="22"/>
          <w:rFonts w:ascii="Calibri" w:cs="Calibri" w:eastAsia="Calibri" w:hAnsi="Calibri"/>
        </w:rPr>
        <w:t xml:space="preserve">Base legal: Art. 30.º n.os 2 a 5 do DL 125/2025; Art. 13.º n.os 1 e 2 do Regulamento n.º 756/2026.</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tblGrid>
      <w:tr>
        <w:trPr>
          <w:tblHeader/>
        </w:trPr>
        <w:tc>
          <w:tcPr>
            <w:shd w:color="1e3a8a" w:val="solid"/>
            <w:vAlign w:val="center"/>
          </w:tcPr>
          <w:p>
            <w:r>
              <w:rPr>
                <w:b/>
                <w:bCs/>
                <w:color w:val="ffffff"/>
                <w:sz w:val="22"/>
                <w:szCs w:val="22"/>
                <w:rFonts w:ascii="Calibri" w:cs="Calibri" w:eastAsia="Calibri" w:hAnsi="Calibri"/>
              </w:rPr>
              <w:t xml:space="preserve">Qualificação</w:t>
            </w:r>
          </w:p>
        </w:tc>
        <w:tc>
          <w:tcPr>
            <w:shd w:color="1e3a8a" w:val="solid"/>
            <w:vAlign w:val="center"/>
          </w:tcPr>
          <w:p>
            <w:r>
              <w:rPr>
                <w:b/>
                <w:bCs/>
                <w:color w:val="ffffff"/>
                <w:sz w:val="22"/>
                <w:szCs w:val="22"/>
                <w:rFonts w:ascii="Calibri" w:cs="Calibri" w:eastAsia="Calibri" w:hAnsi="Calibri"/>
              </w:rPr>
              <w:t xml:space="preserve">Prazo de submissão</w:t>
            </w:r>
          </w:p>
        </w:tc>
        <w:tc>
          <w:tcPr>
            <w:shd w:color="1e3a8a" w:val="solid"/>
            <w:vAlign w:val="center"/>
          </w:tcPr>
          <w:p>
            <w:r>
              <w:rPr>
                <w:b/>
                <w:bCs/>
                <w:color w:val="ffffff"/>
                <w:sz w:val="22"/>
                <w:szCs w:val="22"/>
                <w:rFonts w:ascii="Calibri" w:cs="Calibri" w:eastAsia="Calibri" w:hAnsi="Calibri"/>
              </w:rPr>
              <w:t xml:space="preserve">Canal</w:t>
            </w:r>
          </w:p>
        </w:tc>
      </w:tr>
      <w:tr>
        <w:tc>
          <w:tcPr>
            <w:shd w:color="f3f4f6" w:val="solid"/>
            <w:vAlign w:val="center"/>
          </w:tcPr>
          <w:p>
            <w:r>
              <w:rPr>
                <w:color w:val="374151"/>
                <w:sz w:val="22"/>
                <w:szCs w:val="22"/>
                <w:rFonts w:ascii="Calibri" w:cs="Calibri" w:eastAsia="Calibri" w:hAnsi="Calibri"/>
              </w:rPr>
              <w:t xml:space="preserve">Entidade essencial — primeiro relatório (início de atividade no 1.º semestre)</w:t>
            </w:r>
          </w:p>
        </w:tc>
        <w:tc>
          <w:tcPr>
            <w:vAlign w:val="center"/>
          </w:tcPr>
          <w:p>
            <w:r>
              <w:rPr>
                <w:color w:val="374151"/>
                <w:sz w:val="22"/>
                <w:szCs w:val="22"/>
                <w:rFonts w:ascii="Calibri" w:cs="Calibri" w:eastAsia="Calibri" w:hAnsi="Calibri"/>
              </w:rPr>
              <w:t xml:space="preserve">Até ao último dia útil de janeiro do ano civil seguinte ao primeiro ano civil de atividade</w:t>
            </w:r>
          </w:p>
        </w:tc>
        <w:tc>
          <w:tcPr>
            <w:vAlign w:val="center"/>
          </w:tcPr>
          <w:p>
            <w:r>
              <w:rPr>
                <w:color w:val="374151"/>
                <w:sz w:val="22"/>
                <w:szCs w:val="22"/>
                <w:rFonts w:ascii="Calibri" w:cs="Calibri" w:eastAsia="Calibri" w:hAnsi="Calibri"/>
              </w:rPr>
              <w:t xml:space="preserve">Área reservada na plataforma eletrónica (MyCiber)</w:t>
            </w:r>
          </w:p>
        </w:tc>
      </w:tr>
      <w:tr>
        <w:tc>
          <w:tcPr>
            <w:shd w:color="f3f4f6" w:val="solid"/>
            <w:vAlign w:val="center"/>
          </w:tcPr>
          <w:p>
            <w:r>
              <w:rPr>
                <w:color w:val="374151"/>
                <w:sz w:val="22"/>
                <w:szCs w:val="22"/>
                <w:rFonts w:ascii="Calibri" w:cs="Calibri" w:eastAsia="Calibri" w:hAnsi="Calibri"/>
              </w:rPr>
              <w:t xml:space="preserve">Entidade essencial — primeiro relatório (início de atividade no 2.º semestre)</w:t>
            </w:r>
          </w:p>
        </w:tc>
        <w:tc>
          <w:tcPr>
            <w:vAlign w:val="center"/>
          </w:tcPr>
          <w:p>
            <w:r>
              <w:rPr>
                <w:color w:val="374151"/>
                <w:sz w:val="22"/>
                <w:szCs w:val="22"/>
                <w:rFonts w:ascii="Calibri" w:cs="Calibri" w:eastAsia="Calibri" w:hAnsi="Calibri"/>
              </w:rPr>
              <w:t xml:space="preserve">Até ao último dia útil de janeiro do segundo ano civil seguinte ao primeiro ano civil de atividade</w:t>
            </w:r>
          </w:p>
        </w:tc>
        <w:tc>
          <w:tcPr>
            <w:vAlign w:val="center"/>
          </w:tcPr>
          <w:p>
            <w:r>
              <w:rPr>
                <w:color w:val="374151"/>
                <w:sz w:val="22"/>
                <w:szCs w:val="22"/>
                <w:rFonts w:ascii="Calibri" w:cs="Calibri" w:eastAsia="Calibri" w:hAnsi="Calibri"/>
              </w:rPr>
              <w:t xml:space="preserve">Área reservada na plataforma eletrónica (MyCiber)</w:t>
            </w:r>
          </w:p>
        </w:tc>
      </w:tr>
      <w:tr>
        <w:tc>
          <w:tcPr>
            <w:shd w:color="f3f4f6" w:val="solid"/>
            <w:vAlign w:val="center"/>
          </w:tcPr>
          <w:p>
            <w:r>
              <w:rPr>
                <w:color w:val="374151"/>
                <w:sz w:val="22"/>
                <w:szCs w:val="22"/>
                <w:rFonts w:ascii="Calibri" w:cs="Calibri" w:eastAsia="Calibri" w:hAnsi="Calibri"/>
              </w:rPr>
              <w:t xml:space="preserve">Entidade essencial — relatórios subsequentes</w:t>
            </w:r>
          </w:p>
        </w:tc>
        <w:tc>
          <w:tcPr>
            <w:vAlign w:val="center"/>
          </w:tcPr>
          <w:p>
            <w:r>
              <w:rPr>
                <w:color w:val="374151"/>
                <w:sz w:val="22"/>
                <w:szCs w:val="22"/>
                <w:rFonts w:ascii="Calibri" w:cs="Calibri" w:eastAsia="Calibri" w:hAnsi="Calibri"/>
              </w:rPr>
              <w:t xml:space="preserve">Até ao último dia útil de janeiro do ano civil seguinte ao que se reportam</w:t>
            </w:r>
          </w:p>
        </w:tc>
        <w:tc>
          <w:tcPr>
            <w:vAlign w:val="center"/>
          </w:tcPr>
          <w:p>
            <w:r>
              <w:rPr>
                <w:color w:val="374151"/>
                <w:sz w:val="22"/>
                <w:szCs w:val="22"/>
                <w:rFonts w:ascii="Calibri" w:cs="Calibri" w:eastAsia="Calibri" w:hAnsi="Calibri"/>
              </w:rPr>
              <w:t xml:space="preserve">Área reservada na plataforma eletrónica (MyCiber)</w:t>
            </w:r>
          </w:p>
        </w:tc>
      </w:tr>
      <w:tr>
        <w:tc>
          <w:tcPr>
            <w:shd w:color="f3f4f6" w:val="solid"/>
            <w:vAlign w:val="center"/>
          </w:tcPr>
          <w:p>
            <w:r>
              <w:rPr>
                <w:color w:val="374151"/>
                <w:sz w:val="22"/>
                <w:szCs w:val="22"/>
                <w:rFonts w:ascii="Calibri" w:cs="Calibri" w:eastAsia="Calibri" w:hAnsi="Calibri"/>
              </w:rPr>
              <w:t xml:space="preserve">Entidade importante</w:t>
            </w:r>
          </w:p>
        </w:tc>
        <w:tc>
          <w:tcPr>
            <w:vAlign w:val="center"/>
          </w:tcPr>
          <w:p>
            <w:r>
              <w:rPr>
                <w:color w:val="374151"/>
                <w:sz w:val="22"/>
                <w:szCs w:val="22"/>
                <w:rFonts w:ascii="Calibri" w:cs="Calibri" w:eastAsia="Calibri" w:hAnsi="Calibri"/>
              </w:rPr>
              <w:t xml:space="preserve">Sempre que solicitado pelo CNCS (sem prazo fixo)</w:t>
            </w:r>
          </w:p>
        </w:tc>
        <w:tc>
          <w:tcPr>
            <w:vAlign w:val="center"/>
          </w:tcPr>
          <w:p>
            <w:r>
              <w:rPr>
                <w:color w:val="374151"/>
                <w:sz w:val="22"/>
                <w:szCs w:val="22"/>
                <w:rFonts w:ascii="Calibri" w:cs="Calibri" w:eastAsia="Calibri" w:hAnsi="Calibri"/>
              </w:rPr>
              <w:t xml:space="preserve">Área reservada na plataforma eletrónica (MyCiber)</w:t>
            </w:r>
          </w:p>
        </w:tc>
      </w:tr>
    </w:tbl>
    <w:p>
      <w:pPr>
        <w:spacing w:after="160"/>
      </w:pPr>
      <w:r>
        <w:rPr>
          <w:color w:val="374151"/>
          <w:sz w:val="22"/>
          <w:szCs w:val="22"/>
          <w:rFonts w:ascii="Calibri" w:cs="Calibri" w:eastAsia="Calibri" w:hAnsi="Calibri"/>
        </w:rPr>
        <w:t xml:space="preserve">A autoridade de cibersegurança competente é o CNCS ou a autoridade sectorial/especial aplicável, nos termos do Art. 15.º do DL 125/2025.</w:t>
      </w:r>
    </w:p>
    <w:p>
      <w:r>
        <w:br w:type="page"/>
      </w:r>
    </w:p>
    <w:p>
      <w:pPr>
        <w:pStyle w:val="Heading1"/>
        <w:spacing w:before="400" w:after="200"/>
      </w:pPr>
      <w:r>
        <w:rPr>
          <w:b/>
          <w:bCs/>
          <w:color w:val="1e3a8a"/>
          <w:sz w:val="32"/>
          <w:szCs w:val="32"/>
          <w:rFonts w:ascii="Calibri" w:cs="Calibri" w:eastAsia="Calibri" w:hAnsi="Calibri"/>
        </w:rPr>
        <w:t xml:space="preserve">9. Índice de evidências</w:t>
      </w:r>
    </w:p>
    <w:p>
      <w:pPr>
        <w:spacing w:after="160"/>
      </w:pPr>
      <w:r>
        <w:rPr>
          <w:color w:val="374151"/>
          <w:sz w:val="22"/>
          <w:szCs w:val="22"/>
          <w:rFonts w:ascii="Calibri" w:cs="Calibri" w:eastAsia="Calibri" w:hAnsi="Calibri"/>
        </w:rPr>
        <w:t xml:space="preserve">Lista de documentos de suporte que fundamentam a informação constante deste relatório, a manter disponíveis para efeitos de auditoria ou de pedido da autoridade de cibersegurança competente.</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rPr>
          <w:tblHeader/>
        </w:trPr>
        <w:tc>
          <w:tcPr>
            <w:shd w:color="1e3a8a" w:val="solid"/>
            <w:vAlign w:val="center"/>
          </w:tcPr>
          <w:p>
            <w:r>
              <w:rPr>
                <w:b/>
                <w:bCs/>
                <w:color w:val="ffffff"/>
                <w:sz w:val="22"/>
                <w:szCs w:val="22"/>
                <w:rFonts w:ascii="Calibri" w:cs="Calibri" w:eastAsia="Calibri" w:hAnsi="Calibri"/>
              </w:rPr>
              <w:t xml:space="preserve">N.º</w:t>
            </w:r>
          </w:p>
        </w:tc>
        <w:tc>
          <w:tcPr>
            <w:shd w:color="1e3a8a" w:val="solid"/>
            <w:vAlign w:val="center"/>
          </w:tcPr>
          <w:p>
            <w:r>
              <w:rPr>
                <w:b/>
                <w:bCs/>
                <w:color w:val="ffffff"/>
                <w:sz w:val="22"/>
                <w:szCs w:val="22"/>
                <w:rFonts w:ascii="Calibri" w:cs="Calibri" w:eastAsia="Calibri" w:hAnsi="Calibri"/>
              </w:rPr>
              <w:t xml:space="preserve">Documento/evidência</w:t>
            </w:r>
          </w:p>
        </w:tc>
        <w:tc>
          <w:tcPr>
            <w:shd w:color="1e3a8a" w:val="solid"/>
            <w:vAlign w:val="center"/>
          </w:tcPr>
          <w:p>
            <w:r>
              <w:rPr>
                <w:b/>
                <w:bCs/>
                <w:color w:val="ffffff"/>
                <w:sz w:val="22"/>
                <w:szCs w:val="22"/>
                <w:rFonts w:ascii="Calibri" w:cs="Calibri" w:eastAsia="Calibri" w:hAnsi="Calibri"/>
              </w:rPr>
              <w:t xml:space="preserve">Localização</w:t>
            </w:r>
          </w:p>
        </w:tc>
        <w:tc>
          <w:tcPr>
            <w:shd w:color="1e3a8a" w:val="solid"/>
            <w:vAlign w:val="center"/>
          </w:tcPr>
          <w:p>
            <w:r>
              <w:rPr>
                <w:b/>
                <w:bCs/>
                <w:color w:val="ffffff"/>
                <w:sz w:val="22"/>
                <w:szCs w:val="22"/>
                <w:rFonts w:ascii="Calibri" w:cs="Calibri" w:eastAsia="Calibri" w:hAnsi="Calibri"/>
              </w:rPr>
              <w:t xml:space="preserve">Referência da secção</w:t>
            </w:r>
          </w:p>
        </w:tc>
      </w:tr>
      <w:tr>
        <w:tc>
          <w:tcPr>
            <w:shd w:color="f3f4f6" w:val="solid"/>
            <w:vAlign w:val="center"/>
          </w:tcPr>
          <w:p>
            <w:r>
              <w:rPr>
                <w:color w:val="374151"/>
                <w:sz w:val="22"/>
                <w:szCs w:val="22"/>
                <w:rFonts w:ascii="Calibri" w:cs="Calibri" w:eastAsia="Calibri" w:hAnsi="Calibri"/>
              </w:rPr>
              <w:t xml:space="preserve">1</w:t>
            </w:r>
          </w:p>
        </w:tc>
        <w:tc>
          <w:tcPr>
            <w:vAlign w:val="center"/>
          </w:tcPr>
          <w:p>
            <w:r>
              <w:rPr>
                <w:color w:val="374151"/>
                <w:sz w:val="22"/>
                <w:szCs w:val="22"/>
                <w:rFonts w:ascii="Calibri" w:cs="Calibri" w:eastAsia="Calibri" w:hAnsi="Calibri"/>
              </w:rPr>
              <w:t xml:space="preserve">Registo de incidentes do ano civil</w:t>
            </w:r>
          </w:p>
        </w:tc>
        <w:tc>
          <w:tcPr>
            <w:vAlign w:val="center"/>
          </w:tcPr>
          <w:p>
            <w:r>
              <w:rPr>
                <w:color w:val="374151"/>
                <w:sz w:val="22"/>
                <w:szCs w:val="22"/>
                <w:rFonts w:ascii="Calibri" w:cs="Calibri" w:eastAsia="Calibri" w:hAnsi="Calibri"/>
              </w:rPr>
              <w:t xml:space="preserve">[Localização/sistema]</w:t>
            </w:r>
          </w:p>
        </w:tc>
        <w:tc>
          <w:tcPr>
            <w:vAlign w:val="center"/>
          </w:tcPr>
          <w:p>
            <w:r>
              <w:rPr>
                <w:color w:val="374151"/>
                <w:sz w:val="22"/>
                <w:szCs w:val="22"/>
                <w:rFonts w:ascii="Calibri" w:cs="Calibri" w:eastAsia="Calibri" w:hAnsi="Calibri"/>
              </w:rPr>
              <w:t xml:space="preserve">Secções 3 e 4</w:t>
            </w:r>
          </w:p>
        </w:tc>
      </w:tr>
      <w:tr>
        <w:tc>
          <w:tcPr>
            <w:shd w:color="f3f4f6" w:val="solid"/>
            <w:vAlign w:val="center"/>
          </w:tcPr>
          <w:p>
            <w:r>
              <w:rPr>
                <w:color w:val="374151"/>
                <w:sz w:val="22"/>
                <w:szCs w:val="22"/>
                <w:rFonts w:ascii="Calibri" w:cs="Calibri" w:eastAsia="Calibri" w:hAnsi="Calibri"/>
              </w:rPr>
              <w:t xml:space="preserve">2</w:t>
            </w:r>
          </w:p>
        </w:tc>
        <w:tc>
          <w:tcPr>
            <w:vAlign w:val="center"/>
          </w:tcPr>
          <w:p>
            <w:r>
              <w:rPr>
                <w:color w:val="374151"/>
                <w:sz w:val="22"/>
                <w:szCs w:val="22"/>
                <w:rFonts w:ascii="Calibri" w:cs="Calibri" w:eastAsia="Calibri" w:hAnsi="Calibri"/>
              </w:rPr>
              <w:t xml:space="preserve">Relatórios de notificação de incidentes (Art. 40.º a 44.º)</w:t>
            </w:r>
          </w:p>
        </w:tc>
        <w:tc>
          <w:tcPr>
            <w:vAlign w:val="center"/>
          </w:tcPr>
          <w:p>
            <w:r>
              <w:rPr>
                <w:color w:val="374151"/>
                <w:sz w:val="22"/>
                <w:szCs w:val="22"/>
                <w:rFonts w:ascii="Calibri" w:cs="Calibri" w:eastAsia="Calibri" w:hAnsi="Calibri"/>
              </w:rPr>
              <w:t xml:space="preserve">[Localização/sistema]</w:t>
            </w:r>
          </w:p>
        </w:tc>
        <w:tc>
          <w:tcPr>
            <w:vAlign w:val="center"/>
          </w:tcPr>
          <w:p>
            <w:r>
              <w:rPr>
                <w:color w:val="374151"/>
                <w:sz w:val="22"/>
                <w:szCs w:val="22"/>
                <w:rFonts w:ascii="Calibri" w:cs="Calibri" w:eastAsia="Calibri" w:hAnsi="Calibri"/>
              </w:rPr>
              <w:t xml:space="preserve">Secções 3 e 4</w:t>
            </w:r>
          </w:p>
        </w:tc>
      </w:tr>
      <w:tr>
        <w:tc>
          <w:tcPr>
            <w:shd w:color="f3f4f6" w:val="solid"/>
            <w:vAlign w:val="center"/>
          </w:tcPr>
          <w:p>
            <w:r>
              <w:rPr>
                <w:color w:val="374151"/>
                <w:sz w:val="22"/>
                <w:szCs w:val="22"/>
                <w:rFonts w:ascii="Calibri" w:cs="Calibri" w:eastAsia="Calibri" w:hAnsi="Calibri"/>
              </w:rPr>
              <w:t xml:space="preserve">3</w:t>
            </w:r>
          </w:p>
        </w:tc>
        <w:tc>
          <w:tcPr>
            <w:vAlign w:val="center"/>
          </w:tcPr>
          <w:p>
            <w:r>
              <w:rPr>
                <w:color w:val="374151"/>
                <w:sz w:val="22"/>
                <w:szCs w:val="22"/>
                <w:rFonts w:ascii="Calibri" w:cs="Calibri" w:eastAsia="Calibri" w:hAnsi="Calibri"/>
              </w:rPr>
              <w:t xml:space="preserve">Plano de formação e sensibilização executado</w:t>
            </w:r>
          </w:p>
        </w:tc>
        <w:tc>
          <w:tcPr>
            <w:vAlign w:val="center"/>
          </w:tcPr>
          <w:p>
            <w:r>
              <w:rPr>
                <w:color w:val="374151"/>
                <w:sz w:val="22"/>
                <w:szCs w:val="22"/>
                <w:rFonts w:ascii="Calibri" w:cs="Calibri" w:eastAsia="Calibri" w:hAnsi="Calibri"/>
              </w:rPr>
              <w:t xml:space="preserve">[Localização/sistema]</w:t>
            </w:r>
          </w:p>
        </w:tc>
        <w:tc>
          <w:tcPr>
            <w:vAlign w:val="center"/>
          </w:tcPr>
          <w:p>
            <w:r>
              <w:rPr>
                <w:color w:val="374151"/>
                <w:sz w:val="22"/>
                <w:szCs w:val="22"/>
                <w:rFonts w:ascii="Calibri" w:cs="Calibri" w:eastAsia="Calibri" w:hAnsi="Calibri"/>
              </w:rPr>
              <w:t xml:space="preserve">Secção 2</w:t>
            </w:r>
          </w:p>
        </w:tc>
      </w:tr>
      <w:tr>
        <w:tc>
          <w:tcPr>
            <w:shd w:color="f3f4f6" w:val="solid"/>
            <w:vAlign w:val="center"/>
          </w:tcPr>
          <w:p>
            <w:r>
              <w:rPr>
                <w:color w:val="374151"/>
                <w:sz w:val="22"/>
                <w:szCs w:val="22"/>
                <w:rFonts w:ascii="Calibri" w:cs="Calibri" w:eastAsia="Calibri" w:hAnsi="Calibri"/>
              </w:rPr>
              <w:t xml:space="preserve">4</w:t>
            </w:r>
          </w:p>
        </w:tc>
        <w:tc>
          <w:tcPr>
            <w:vAlign w:val="center"/>
          </w:tcPr>
          <w:p>
            <w:r>
              <w:rPr>
                <w:color w:val="374151"/>
                <w:sz w:val="22"/>
                <w:szCs w:val="22"/>
                <w:rFonts w:ascii="Calibri" w:cs="Calibri" w:eastAsia="Calibri" w:hAnsi="Calibri"/>
              </w:rPr>
              <w:t xml:space="preserve">Atas de revisão da matriz de risco (Art. 26.º)</w:t>
            </w:r>
          </w:p>
        </w:tc>
        <w:tc>
          <w:tcPr>
            <w:vAlign w:val="center"/>
          </w:tcPr>
          <w:p>
            <w:r>
              <w:rPr>
                <w:color w:val="374151"/>
                <w:sz w:val="22"/>
                <w:szCs w:val="22"/>
                <w:rFonts w:ascii="Calibri" w:cs="Calibri" w:eastAsia="Calibri" w:hAnsi="Calibri"/>
              </w:rPr>
              <w:t xml:space="preserve">[Localização/sistema]</w:t>
            </w:r>
          </w:p>
        </w:tc>
        <w:tc>
          <w:tcPr>
            <w:vAlign w:val="center"/>
          </w:tcPr>
          <w:p>
            <w:r>
              <w:rPr>
                <w:color w:val="374151"/>
                <w:sz w:val="22"/>
                <w:szCs w:val="22"/>
                <w:rFonts w:ascii="Calibri" w:cs="Calibri" w:eastAsia="Calibri" w:hAnsi="Calibri"/>
              </w:rPr>
              <w:t xml:space="preserve">Secção 2</w:t>
            </w:r>
          </w:p>
        </w:tc>
      </w:tr>
      <w:tr>
        <w:tc>
          <w:tcPr>
            <w:shd w:color="f3f4f6" w:val="solid"/>
            <w:vAlign w:val="center"/>
          </w:tcPr>
          <w:p>
            <w:r>
              <w:rPr>
                <w:color w:val="374151"/>
                <w:sz w:val="22"/>
                <w:szCs w:val="22"/>
                <w:rFonts w:ascii="Calibri" w:cs="Calibri" w:eastAsia="Calibri" w:hAnsi="Calibri"/>
              </w:rPr>
              <w:t xml:space="preserve">5</w:t>
            </w:r>
          </w:p>
        </w:tc>
        <w:tc>
          <w:tcPr>
            <w:vAlign w:val="center"/>
          </w:tcPr>
          <w:p>
            <w:r>
              <w:rPr>
                <w:color w:val="374151"/>
                <w:sz w:val="22"/>
                <w:szCs w:val="22"/>
                <w:rFonts w:ascii="Calibri" w:cs="Calibri" w:eastAsia="Calibri" w:hAnsi="Calibri"/>
              </w:rPr>
              <w:t xml:space="preserve">Evidência de medidas correctivas implementadas</w:t>
            </w:r>
          </w:p>
        </w:tc>
        <w:tc>
          <w:tcPr>
            <w:vAlign w:val="center"/>
          </w:tcPr>
          <w:p>
            <w:r>
              <w:rPr>
                <w:color w:val="374151"/>
                <w:sz w:val="22"/>
                <w:szCs w:val="22"/>
                <w:rFonts w:ascii="Calibri" w:cs="Calibri" w:eastAsia="Calibri" w:hAnsi="Calibri"/>
              </w:rPr>
              <w:t xml:space="preserve">[Localização/sistema]</w:t>
            </w:r>
          </w:p>
        </w:tc>
        <w:tc>
          <w:tcPr>
            <w:vAlign w:val="center"/>
          </w:tcPr>
          <w:p>
            <w:r>
              <w:rPr>
                <w:color w:val="374151"/>
                <w:sz w:val="22"/>
                <w:szCs w:val="22"/>
                <w:rFonts w:ascii="Calibri" w:cs="Calibri" w:eastAsia="Calibri" w:hAnsi="Calibri"/>
              </w:rPr>
              <w:t xml:space="preserve">Secção 6</w:t>
            </w:r>
          </w:p>
        </w:tc>
      </w:tr>
      <w:tr>
        <w:tc>
          <w:tcPr>
            <w:shd w:color="f3f4f6" w:val="solid"/>
            <w:vAlign w:val="center"/>
          </w:tcPr>
          <w:p>
            <w:r>
              <w:rPr>
                <w:color w:val="374151"/>
                <w:sz w:val="22"/>
                <w:szCs w:val="22"/>
                <w:rFonts w:ascii="Calibri" w:cs="Calibri" w:eastAsia="Calibri" w:hAnsi="Calibri"/>
              </w:rPr>
              <w:t xml:space="preserve">6</w:t>
            </w:r>
          </w:p>
        </w:tc>
        <w:tc>
          <w:tcPr>
            <w:vAlign w:val="center"/>
          </w:tcPr>
          <w:p>
            <w:r>
              <w:rPr>
                <w:color w:val="374151"/>
                <w:sz w:val="22"/>
                <w:szCs w:val="22"/>
                <w:rFonts w:ascii="Calibri" w:cs="Calibri" w:eastAsia="Calibri" w:hAnsi="Calibri"/>
              </w:rPr>
              <w:t xml:space="preserve">[Outro]</w:t>
            </w:r>
          </w:p>
        </w:tc>
        <w:tc>
          <w:tcPr>
            <w:vAlign w:val="center"/>
          </w:tcPr>
          <w:p>
            <w:r>
              <w:rPr>
                <w:color w:val="374151"/>
                <w:sz w:val="22"/>
                <w:szCs w:val="22"/>
                <w:rFonts w:ascii="Calibri" w:cs="Calibri" w:eastAsia="Calibri" w:hAnsi="Calibri"/>
              </w:rPr>
              <w:t xml:space="preserve">[Localização/sistema]</w:t>
            </w:r>
          </w:p>
        </w:tc>
        <w:tc>
          <w:tcPr>
            <w:vAlign w:val="center"/>
          </w:tcPr>
          <w:p>
            <w:r>
              <w:rPr>
                <w:color w:val="374151"/>
                <w:sz w:val="22"/>
                <w:szCs w:val="22"/>
                <w:rFonts w:ascii="Calibri" w:cs="Calibri" w:eastAsia="Calibri" w:hAnsi="Calibri"/>
              </w:rPr>
              <w:t xml:space="preserve">[Secção]</w:t>
            </w:r>
          </w:p>
        </w:tc>
      </w:tr>
    </w:tbl>
    <w:p>
      <w:r>
        <w:br w:type="page"/>
      </w:r>
    </w:p>
    <w:p>
      <w:pPr>
        <w:pStyle w:val="Heading1"/>
        <w:spacing w:before="400" w:after="200"/>
      </w:pPr>
      <w:r>
        <w:rPr>
          <w:b/>
          <w:bCs/>
          <w:color w:val="1e3a8a"/>
          <w:sz w:val="32"/>
          <w:szCs w:val="32"/>
          <w:rFonts w:ascii="Calibri" w:cs="Calibri" w:eastAsia="Calibri" w:hAnsi="Calibri"/>
        </w:rPr>
        <w:t xml:space="preserve">10. Anexo — Indicadores de apoio</w:t>
      </w:r>
    </w:p>
    <w:p>
      <w:pPr>
        <w:spacing w:after="160"/>
      </w:pPr>
      <w:r>
        <w:rPr>
          <w:color w:val="374151"/>
          <w:sz w:val="22"/>
          <w:szCs w:val="22"/>
          <w:rFonts w:ascii="Calibri" w:cs="Calibri" w:eastAsia="Calibri" w:hAnsi="Calibri"/>
        </w:rPr>
        <w:t xml:space="preserve">Tabela de indicadores sugerida como apoio à elaboração das secções 3 e 4. O preenchimento desta tabela não substitui as secções obrigatórias do relatório, mas facilita a sua consistência interna.</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rPr>
          <w:tblHeader/>
        </w:trPr>
        <w:tc>
          <w:tcPr>
            <w:shd w:color="1e3a8a" w:val="solid"/>
            <w:vAlign w:val="center"/>
          </w:tcPr>
          <w:p>
            <w:r>
              <w:rPr>
                <w:b/>
                <w:bCs/>
                <w:color w:val="ffffff"/>
                <w:sz w:val="22"/>
                <w:szCs w:val="22"/>
                <w:rFonts w:ascii="Calibri" w:cs="Calibri" w:eastAsia="Calibri" w:hAnsi="Calibri"/>
              </w:rPr>
              <w:t xml:space="preserve">Indicador</w:t>
            </w:r>
          </w:p>
        </w:tc>
        <w:tc>
          <w:tcPr>
            <w:shd w:color="1e3a8a" w:val="solid"/>
            <w:vAlign w:val="center"/>
          </w:tcPr>
          <w:p>
            <w:r>
              <w:rPr>
                <w:b/>
                <w:bCs/>
                <w:color w:val="ffffff"/>
                <w:sz w:val="22"/>
                <w:szCs w:val="22"/>
                <w:rFonts w:ascii="Calibri" w:cs="Calibri" w:eastAsia="Calibri" w:hAnsi="Calibri"/>
              </w:rPr>
              <w:t xml:space="preserve">Ano anterior</w:t>
            </w:r>
          </w:p>
        </w:tc>
        <w:tc>
          <w:tcPr>
            <w:shd w:color="1e3a8a" w:val="solid"/>
            <w:vAlign w:val="center"/>
          </w:tcPr>
          <w:p>
            <w:r>
              <w:rPr>
                <w:b/>
                <w:bCs/>
                <w:color w:val="ffffff"/>
                <w:sz w:val="22"/>
                <w:szCs w:val="22"/>
                <w:rFonts w:ascii="Calibri" w:cs="Calibri" w:eastAsia="Calibri" w:hAnsi="Calibri"/>
              </w:rPr>
              <w:t xml:space="preserve">Ano corrente</w:t>
            </w:r>
          </w:p>
        </w:tc>
        <w:tc>
          <w:tcPr>
            <w:shd w:color="1e3a8a" w:val="solid"/>
            <w:vAlign w:val="center"/>
          </w:tcPr>
          <w:p>
            <w:r>
              <w:rPr>
                <w:b/>
                <w:bCs/>
                <w:color w:val="ffffff"/>
                <w:sz w:val="22"/>
                <w:szCs w:val="22"/>
                <w:rFonts w:ascii="Calibri" w:cs="Calibri" w:eastAsia="Calibri" w:hAnsi="Calibri"/>
              </w:rPr>
              <w:t xml:space="preserve">Variação</w:t>
            </w:r>
          </w:p>
        </w:tc>
      </w:tr>
      <w:tr>
        <w:tc>
          <w:tcPr>
            <w:shd w:color="f3f4f6" w:val="solid"/>
            <w:vAlign w:val="center"/>
          </w:tcPr>
          <w:p>
            <w:r>
              <w:rPr>
                <w:color w:val="374151"/>
                <w:sz w:val="22"/>
                <w:szCs w:val="22"/>
                <w:rFonts w:ascii="Calibri" w:cs="Calibri" w:eastAsia="Calibri" w:hAnsi="Calibri"/>
              </w:rPr>
              <w:t xml:space="preserve">Total de incidentes registados</w:t>
            </w:r>
          </w:p>
        </w:tc>
        <w:tc>
          <w:tcPr>
            <w:vAlign w:val="center"/>
          </w:tcPr>
          <w:p>
            <w:r>
              <w:rPr>
                <w:color w:val="374151"/>
                <w:sz w:val="22"/>
                <w:szCs w:val="22"/>
                <w:rFonts w:ascii="Calibri" w:cs="Calibri" w:eastAsia="Calibri" w:hAnsi="Calibri"/>
              </w:rPr>
              <w:t xml:space="preserve">[N.º]</w:t>
            </w:r>
          </w:p>
        </w:tc>
        <w:tc>
          <w:tcPr>
            <w:vAlign w:val="center"/>
          </w:tcPr>
          <w:p>
            <w:r>
              <w:rPr>
                <w:color w:val="374151"/>
                <w:sz w:val="22"/>
                <w:szCs w:val="22"/>
                <w:rFonts w:ascii="Calibri" w:cs="Calibri" w:eastAsia="Calibri" w:hAnsi="Calibri"/>
              </w:rPr>
              <w:t xml:space="preserve">[N.º]</w:t>
            </w:r>
          </w:p>
        </w:tc>
        <w:tc>
          <w:tcPr>
            <w:vAlign w:val="center"/>
          </w:tcPr>
          <w:p>
            <w:r>
              <w:rPr>
                <w:color w:val="374151"/>
                <w:sz w:val="22"/>
                <w:szCs w:val="22"/>
                <w:rFonts w:ascii="Calibri" w:cs="Calibri" w:eastAsia="Calibri" w:hAnsi="Calibri"/>
              </w:rPr>
              <w:t xml:space="preserve">[%]</w:t>
            </w:r>
          </w:p>
        </w:tc>
      </w:tr>
      <w:tr>
        <w:tc>
          <w:tcPr>
            <w:shd w:color="f3f4f6" w:val="solid"/>
            <w:vAlign w:val="center"/>
          </w:tcPr>
          <w:p>
            <w:r>
              <w:rPr>
                <w:color w:val="374151"/>
                <w:sz w:val="22"/>
                <w:szCs w:val="22"/>
                <w:rFonts w:ascii="Calibri" w:cs="Calibri" w:eastAsia="Calibri" w:hAnsi="Calibri"/>
              </w:rPr>
              <w:t xml:space="preserve">Incidentes significativos notificados ao CNCS</w:t>
            </w:r>
          </w:p>
        </w:tc>
        <w:tc>
          <w:tcPr>
            <w:vAlign w:val="center"/>
          </w:tcPr>
          <w:p>
            <w:r>
              <w:rPr>
                <w:color w:val="374151"/>
                <w:sz w:val="22"/>
                <w:szCs w:val="22"/>
                <w:rFonts w:ascii="Calibri" w:cs="Calibri" w:eastAsia="Calibri" w:hAnsi="Calibri"/>
              </w:rPr>
              <w:t xml:space="preserve">[N.º]</w:t>
            </w:r>
          </w:p>
        </w:tc>
        <w:tc>
          <w:tcPr>
            <w:vAlign w:val="center"/>
          </w:tcPr>
          <w:p>
            <w:r>
              <w:rPr>
                <w:color w:val="374151"/>
                <w:sz w:val="22"/>
                <w:szCs w:val="22"/>
                <w:rFonts w:ascii="Calibri" w:cs="Calibri" w:eastAsia="Calibri" w:hAnsi="Calibri"/>
              </w:rPr>
              <w:t xml:space="preserve">[N.º]</w:t>
            </w:r>
          </w:p>
        </w:tc>
        <w:tc>
          <w:tcPr>
            <w:vAlign w:val="center"/>
          </w:tcPr>
          <w:p>
            <w:r>
              <w:rPr>
                <w:color w:val="374151"/>
                <w:sz w:val="22"/>
                <w:szCs w:val="22"/>
                <w:rFonts w:ascii="Calibri" w:cs="Calibri" w:eastAsia="Calibri" w:hAnsi="Calibri"/>
              </w:rPr>
              <w:t xml:space="preserve">[%]</w:t>
            </w:r>
          </w:p>
        </w:tc>
      </w:tr>
      <w:tr>
        <w:tc>
          <w:tcPr>
            <w:shd w:color="f3f4f6" w:val="solid"/>
            <w:vAlign w:val="center"/>
          </w:tcPr>
          <w:p>
            <w:r>
              <w:rPr>
                <w:color w:val="374151"/>
                <w:sz w:val="22"/>
                <w:szCs w:val="22"/>
                <w:rFonts w:ascii="Calibri" w:cs="Calibri" w:eastAsia="Calibri" w:hAnsi="Calibri"/>
              </w:rPr>
              <w:t xml:space="preserve">Tempo médio de deteção</w:t>
            </w:r>
          </w:p>
        </w:tc>
        <w:tc>
          <w:tcPr>
            <w:vAlign w:val="center"/>
          </w:tcPr>
          <w:p>
            <w:r>
              <w:rPr>
                <w:color w:val="374151"/>
                <w:sz w:val="22"/>
                <w:szCs w:val="22"/>
                <w:rFonts w:ascii="Calibri" w:cs="Calibri" w:eastAsia="Calibri" w:hAnsi="Calibri"/>
              </w:rPr>
              <w:t xml:space="preserve">[Horas]</w:t>
            </w:r>
          </w:p>
        </w:tc>
        <w:tc>
          <w:tcPr>
            <w:vAlign w:val="center"/>
          </w:tcPr>
          <w:p>
            <w:r>
              <w:rPr>
                <w:color w:val="374151"/>
                <w:sz w:val="22"/>
                <w:szCs w:val="22"/>
                <w:rFonts w:ascii="Calibri" w:cs="Calibri" w:eastAsia="Calibri" w:hAnsi="Calibri"/>
              </w:rPr>
              <w:t xml:space="preserve">[Horas]</w:t>
            </w:r>
          </w:p>
        </w:tc>
        <w:tc>
          <w:tcPr>
            <w:vAlign w:val="center"/>
          </w:tcPr>
          <w:p>
            <w:r>
              <w:rPr>
                <w:color w:val="374151"/>
                <w:sz w:val="22"/>
                <w:szCs w:val="22"/>
                <w:rFonts w:ascii="Calibri" w:cs="Calibri" w:eastAsia="Calibri" w:hAnsi="Calibri"/>
              </w:rPr>
              <w:t xml:space="preserve">[%]</w:t>
            </w:r>
          </w:p>
        </w:tc>
      </w:tr>
      <w:tr>
        <w:tc>
          <w:tcPr>
            <w:shd w:color="f3f4f6" w:val="solid"/>
            <w:vAlign w:val="center"/>
          </w:tcPr>
          <w:p>
            <w:r>
              <w:rPr>
                <w:color w:val="374151"/>
                <w:sz w:val="22"/>
                <w:szCs w:val="22"/>
                <w:rFonts w:ascii="Calibri" w:cs="Calibri" w:eastAsia="Calibri" w:hAnsi="Calibri"/>
              </w:rPr>
              <w:t xml:space="preserve">Tempo médio de contenção</w:t>
            </w:r>
          </w:p>
        </w:tc>
        <w:tc>
          <w:tcPr>
            <w:vAlign w:val="center"/>
          </w:tcPr>
          <w:p>
            <w:r>
              <w:rPr>
                <w:color w:val="374151"/>
                <w:sz w:val="22"/>
                <w:szCs w:val="22"/>
                <w:rFonts w:ascii="Calibri" w:cs="Calibri" w:eastAsia="Calibri" w:hAnsi="Calibri"/>
              </w:rPr>
              <w:t xml:space="preserve">[Horas]</w:t>
            </w:r>
          </w:p>
        </w:tc>
        <w:tc>
          <w:tcPr>
            <w:vAlign w:val="center"/>
          </w:tcPr>
          <w:p>
            <w:r>
              <w:rPr>
                <w:color w:val="374151"/>
                <w:sz w:val="22"/>
                <w:szCs w:val="22"/>
                <w:rFonts w:ascii="Calibri" w:cs="Calibri" w:eastAsia="Calibri" w:hAnsi="Calibri"/>
              </w:rPr>
              <w:t xml:space="preserve">[Horas]</w:t>
            </w:r>
          </w:p>
        </w:tc>
        <w:tc>
          <w:tcPr>
            <w:vAlign w:val="center"/>
          </w:tcPr>
          <w:p>
            <w:r>
              <w:rPr>
                <w:color w:val="374151"/>
                <w:sz w:val="22"/>
                <w:szCs w:val="22"/>
                <w:rFonts w:ascii="Calibri" w:cs="Calibri" w:eastAsia="Calibri" w:hAnsi="Calibri"/>
              </w:rPr>
              <w:t xml:space="preserve">[%]</w:t>
            </w:r>
          </w:p>
        </w:tc>
      </w:tr>
      <w:tr>
        <w:tc>
          <w:tcPr>
            <w:shd w:color="f3f4f6" w:val="solid"/>
            <w:vAlign w:val="center"/>
          </w:tcPr>
          <w:p>
            <w:r>
              <w:rPr>
                <w:color w:val="374151"/>
                <w:sz w:val="22"/>
                <w:szCs w:val="22"/>
                <w:rFonts w:ascii="Calibri" w:cs="Calibri" w:eastAsia="Calibri" w:hAnsi="Calibri"/>
              </w:rPr>
              <w:t xml:space="preserve">Utilizadores afetados (total)</w:t>
            </w:r>
          </w:p>
        </w:tc>
        <w:tc>
          <w:tcPr>
            <w:vAlign w:val="center"/>
          </w:tcPr>
          <w:p>
            <w:r>
              <w:rPr>
                <w:color w:val="374151"/>
                <w:sz w:val="22"/>
                <w:szCs w:val="22"/>
                <w:rFonts w:ascii="Calibri" w:cs="Calibri" w:eastAsia="Calibri" w:hAnsi="Calibri"/>
              </w:rPr>
              <w:t xml:space="preserve">[N.º]</w:t>
            </w:r>
          </w:p>
        </w:tc>
        <w:tc>
          <w:tcPr>
            <w:vAlign w:val="center"/>
          </w:tcPr>
          <w:p>
            <w:r>
              <w:rPr>
                <w:color w:val="374151"/>
                <w:sz w:val="22"/>
                <w:szCs w:val="22"/>
                <w:rFonts w:ascii="Calibri" w:cs="Calibri" w:eastAsia="Calibri" w:hAnsi="Calibri"/>
              </w:rPr>
              <w:t xml:space="preserve">[N.º]</w:t>
            </w:r>
          </w:p>
        </w:tc>
        <w:tc>
          <w:tcPr>
            <w:vAlign w:val="center"/>
          </w:tcPr>
          <w:p>
            <w:r>
              <w:rPr>
                <w:color w:val="374151"/>
                <w:sz w:val="22"/>
                <w:szCs w:val="22"/>
                <w:rFonts w:ascii="Calibri" w:cs="Calibri" w:eastAsia="Calibri" w:hAnsi="Calibri"/>
              </w:rPr>
              <w:t xml:space="preserve">[%]</w:t>
            </w:r>
          </w:p>
        </w:tc>
      </w:tr>
      <w:tr>
        <w:tc>
          <w:tcPr>
            <w:shd w:color="f3f4f6" w:val="solid"/>
            <w:vAlign w:val="center"/>
          </w:tcPr>
          <w:p>
            <w:r>
              <w:rPr>
                <w:color w:val="374151"/>
                <w:sz w:val="22"/>
                <w:szCs w:val="22"/>
                <w:rFonts w:ascii="Calibri" w:cs="Calibri" w:eastAsia="Calibri" w:hAnsi="Calibri"/>
              </w:rPr>
              <w:t xml:space="preserve">Investimento em cibersegurança</w:t>
            </w:r>
          </w:p>
        </w:tc>
        <w:tc>
          <w:tcPr>
            <w:vAlign w:val="center"/>
          </w:tcPr>
          <w:p>
            <w:r>
              <w:rPr>
                <w:color w:val="374151"/>
                <w:sz w:val="22"/>
                <w:szCs w:val="22"/>
                <w:rFonts w:ascii="Calibri" w:cs="Calibri" w:eastAsia="Calibri" w:hAnsi="Calibri"/>
              </w:rPr>
              <w:t xml:space="preserve">[€]</w:t>
            </w:r>
          </w:p>
        </w:tc>
        <w:tc>
          <w:tcPr>
            <w:vAlign w:val="center"/>
          </w:tcPr>
          <w:p>
            <w:r>
              <w:rPr>
                <w:color w:val="374151"/>
                <w:sz w:val="22"/>
                <w:szCs w:val="22"/>
                <w:rFonts w:ascii="Calibri" w:cs="Calibri" w:eastAsia="Calibri" w:hAnsi="Calibri"/>
              </w:rPr>
              <w:t xml:space="preserve">[€]</w:t>
            </w:r>
          </w:p>
        </w:tc>
        <w:tc>
          <w:tcPr>
            <w:vAlign w:val="center"/>
          </w:tcPr>
          <w:p>
            <w:r>
              <w:rPr>
                <w:color w:val="374151"/>
                <w:sz w:val="22"/>
                <w:szCs w:val="22"/>
                <w:rFonts w:ascii="Calibri" w:cs="Calibri" w:eastAsia="Calibri" w:hAnsi="Calibri"/>
              </w:rPr>
              <w:t xml:space="preserve">[%]</w:t>
            </w:r>
          </w:p>
        </w:tc>
      </w:tr>
    </w:tbl>
    <w:p>
      <w:r>
        <w:br w:type="page"/>
      </w:r>
    </w:p>
    <w:p>
      <w:pPr>
        <w:pStyle w:val="Heading1"/>
        <w:spacing w:before="400" w:after="200"/>
      </w:pPr>
      <w:r>
        <w:rPr>
          <w:b/>
          <w:bCs/>
          <w:color w:val="1e3a8a"/>
          <w:sz w:val="32"/>
          <w:szCs w:val="32"/>
          <w:rFonts w:ascii="Calibri" w:cs="Calibri" w:eastAsia="Calibri" w:hAnsi="Calibri"/>
        </w:rPr>
        <w:t xml:space="preserve">Declaração e assinatura do responsável de cibersegurança</w:t>
      </w:r>
    </w:p>
    <w:p>
      <w:pPr>
        <w:shd w:color="dbeafe" w:val="solid"/>
        <w:spacing w:before="160" w:after="160"/>
        <w:ind w:left="360" w:right="360"/>
      </w:pPr>
      <w:r>
        <w:rPr>
          <w:i/>
          <w:iCs/>
          <w:color w:val="1e3a8a"/>
          <w:sz w:val="22"/>
          <w:szCs w:val="22"/>
          <w:rFonts w:ascii="Calibri" w:cs="Calibri" w:eastAsia="Calibri" w:hAnsi="Calibri"/>
        </w:rPr>
        <w:t xml:space="preserve">Base legal: Art. 30.º n.º 2 do DL 125/2025 — assinatura obrigatória do responsável de cibersegurança.</w:t>
      </w:r>
    </w:p>
    <w:p>
      <w:pPr>
        <w:spacing w:after="160"/>
      </w:pPr>
      <w:r>
        <w:rPr>
          <w:color w:val="374151"/>
          <w:sz w:val="22"/>
          <w:szCs w:val="22"/>
          <w:rFonts w:ascii="Calibri" w:cs="Calibri" w:eastAsia="Calibri" w:hAnsi="Calibri"/>
        </w:rPr>
        <w:t xml:space="preserve">Declaro que as informações constantes do presente relatório anual são verdadeiras e completas, e refletem a situação da entidade em matéria de cibersegurança relativamente ao ano civil acima identificado.</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rPr>
          <w:tblHeader/>
        </w:trPr>
        <w:tc>
          <w:tcPr>
            <w:tcW w:type="pct" w:w="30%"/>
            <w:shd w:color="1e3a8a" w:val="solid"/>
            <w:vAlign w:val="center"/>
          </w:tcPr>
          <w:p>
            <w:r>
              <w:rPr>
                <w:b/>
                <w:bCs/>
                <w:color w:val="ffffff"/>
                <w:sz w:val="22"/>
                <w:szCs w:val="22"/>
                <w:rFonts w:ascii="Calibri" w:cs="Calibri" w:eastAsia="Calibri" w:hAnsi="Calibri"/>
              </w:rPr>
              <w:t xml:space="preserve">Campo</w:t>
            </w:r>
          </w:p>
        </w:tc>
        <w:tc>
          <w:tcPr>
            <w:tcW w:type="pct" w:w="70%"/>
            <w:shd w:color="1e3a8a" w:val="solid"/>
            <w:vAlign w:val="center"/>
          </w:tcPr>
          <w:p>
            <w:r>
              <w:rPr>
                <w:b/>
                <w:bCs/>
                <w:color w:val="ffffff"/>
                <w:sz w:val="22"/>
                <w:szCs w:val="22"/>
                <w:rFonts w:ascii="Calibri" w:cs="Calibri" w:eastAsia="Calibri" w:hAnsi="Calibri"/>
              </w:rPr>
              <w:t xml:space="preserve">Preenchimento</w:t>
            </w:r>
          </w:p>
        </w:tc>
      </w:tr>
      <w:tr>
        <w:tc>
          <w:tcPr>
            <w:shd w:color="f3f4f6" w:val="solid"/>
            <w:vAlign w:val="center"/>
          </w:tcPr>
          <w:p>
            <w:r>
              <w:rPr>
                <w:color w:val="374151"/>
                <w:sz w:val="22"/>
                <w:szCs w:val="22"/>
                <w:rFonts w:ascii="Calibri" w:cs="Calibri" w:eastAsia="Calibri" w:hAnsi="Calibri"/>
              </w:rPr>
              <w:t xml:space="preserve">Nome do responsável de cibersegurança</w:t>
            </w:r>
          </w:p>
        </w:tc>
        <w:tc>
          <w:tcPr>
            <w:vAlign w:val="center"/>
          </w:tcPr>
          <w:p>
            <w:r>
              <w:rPr>
                <w:color w:val="374151"/>
                <w:sz w:val="22"/>
                <w:szCs w:val="22"/>
                <w:rFonts w:ascii="Calibri" w:cs="Calibri" w:eastAsia="Calibri" w:hAnsi="Calibri"/>
              </w:rPr>
            </w:r>
          </w:p>
        </w:tc>
      </w:tr>
      <w:tr>
        <w:tc>
          <w:tcPr>
            <w:shd w:color="f3f4f6" w:val="solid"/>
            <w:vAlign w:val="center"/>
          </w:tcPr>
          <w:p>
            <w:r>
              <w:rPr>
                <w:color w:val="374151"/>
                <w:sz w:val="22"/>
                <w:szCs w:val="22"/>
                <w:rFonts w:ascii="Calibri" w:cs="Calibri" w:eastAsia="Calibri" w:hAnsi="Calibri"/>
              </w:rPr>
              <w:t xml:space="preserve">Cargo</w:t>
            </w:r>
          </w:p>
        </w:tc>
        <w:tc>
          <w:tcPr>
            <w:vAlign w:val="center"/>
          </w:tcPr>
          <w:p>
            <w:r>
              <w:rPr>
                <w:color w:val="374151"/>
                <w:sz w:val="22"/>
                <w:szCs w:val="22"/>
                <w:rFonts w:ascii="Calibri" w:cs="Calibri" w:eastAsia="Calibri" w:hAnsi="Calibri"/>
              </w:rPr>
            </w:r>
          </w:p>
        </w:tc>
      </w:tr>
      <w:tr>
        <w:tc>
          <w:tcPr>
            <w:shd w:color="f3f4f6" w:val="solid"/>
            <w:vAlign w:val="center"/>
          </w:tcPr>
          <w:p>
            <w:r>
              <w:rPr>
                <w:color w:val="374151"/>
                <w:sz w:val="22"/>
                <w:szCs w:val="22"/>
                <w:rFonts w:ascii="Calibri" w:cs="Calibri" w:eastAsia="Calibri" w:hAnsi="Calibri"/>
              </w:rPr>
              <w:t xml:space="preserve">Data</w:t>
            </w:r>
          </w:p>
        </w:tc>
        <w:tc>
          <w:tcPr>
            <w:vAlign w:val="center"/>
          </w:tcPr>
          <w:p>
            <w:r>
              <w:rPr>
                <w:color w:val="374151"/>
                <w:sz w:val="22"/>
                <w:szCs w:val="22"/>
                <w:rFonts w:ascii="Calibri" w:cs="Calibri" w:eastAsia="Calibri" w:hAnsi="Calibri"/>
              </w:rPr>
            </w:r>
          </w:p>
        </w:tc>
      </w:tr>
      <w:tr>
        <w:tc>
          <w:tcPr>
            <w:shd w:color="f3f4f6" w:val="solid"/>
            <w:vAlign w:val="center"/>
          </w:tcPr>
          <w:p>
            <w:r>
              <w:rPr>
                <w:color w:val="374151"/>
                <w:sz w:val="22"/>
                <w:szCs w:val="22"/>
                <w:rFonts w:ascii="Calibri" w:cs="Calibri" w:eastAsia="Calibri" w:hAnsi="Calibri"/>
              </w:rPr>
              <w:t xml:space="preserve">Assinatura</w:t>
            </w:r>
          </w:p>
        </w:tc>
        <w:tc>
          <w:tcPr>
            <w:vAlign w:val="center"/>
          </w:tcPr>
          <w:p>
            <w:r>
              <w:rPr>
                <w:color w:val="374151"/>
                <w:sz w:val="22"/>
                <w:szCs w:val="22"/>
                <w:rFonts w:ascii="Calibri" w:cs="Calibri" w:eastAsia="Calibri" w:hAnsi="Calibri"/>
              </w:rPr>
            </w:r>
          </w:p>
        </w:tc>
      </w:tr>
    </w:tbl>
    <w:p>
      <w:r>
        <w:br w:type="page"/>
      </w:r>
    </w:p>
    <w:p>
      <w:pPr>
        <w:pStyle w:val="Heading1"/>
        <w:spacing w:before="400" w:after="200"/>
      </w:pPr>
      <w:r>
        <w:rPr>
          <w:b/>
          <w:bCs/>
          <w:color w:val="1e3a8a"/>
          <w:sz w:val="32"/>
          <w:szCs w:val="32"/>
          <w:rFonts w:ascii="Calibri" w:cs="Calibri" w:eastAsia="Calibri" w:hAnsi="Calibri"/>
        </w:rPr>
        <w:t xml:space="preserve">Anexo — Checklist de verificação</w:t>
      </w:r>
    </w:p>
    <w:p>
      <w:pPr>
        <w:pStyle w:val="ListParagraph"/>
        <w:numPr>
          <w:ilvl w:val="0"/>
          <w:numId w:val="1"/>
        </w:numPr>
        <w:spacing w:after="80"/>
      </w:pPr>
      <w:r>
        <w:rPr>
          <w:color w:val="374151"/>
          <w:sz w:val="22"/>
          <w:szCs w:val="22"/>
          <w:rFonts w:ascii="Calibri" w:cs="Calibri" w:eastAsia="Calibri" w:hAnsi="Calibri"/>
        </w:rPr>
        <w:t xml:space="preserve">☐ Descrição sumária das atividades de segurança preenchida (alínea a))</w:t>
      </w:r>
    </w:p>
    <w:p>
      <w:pPr>
        <w:pStyle w:val="ListParagraph"/>
        <w:numPr>
          <w:ilvl w:val="0"/>
          <w:numId w:val="1"/>
        </w:numPr>
        <w:spacing w:after="80"/>
      </w:pPr>
      <w:r>
        <w:rPr>
          <w:color w:val="374151"/>
          <w:sz w:val="22"/>
          <w:szCs w:val="22"/>
          <w:rFonts w:ascii="Calibri" w:cs="Calibri" w:eastAsia="Calibri" w:hAnsi="Calibri"/>
        </w:rPr>
        <w:t xml:space="preserve">☐ Estatística trimestral de todos os incidentes preenchida, incluindo os não significativos (alínea b))</w:t>
      </w:r>
    </w:p>
    <w:p>
      <w:pPr>
        <w:pStyle w:val="ListParagraph"/>
        <w:numPr>
          <w:ilvl w:val="0"/>
          <w:numId w:val="1"/>
        </w:numPr>
        <w:spacing w:after="80"/>
      </w:pPr>
      <w:r>
        <w:rPr>
          <w:color w:val="374151"/>
          <w:sz w:val="22"/>
          <w:szCs w:val="22"/>
          <w:rFonts w:ascii="Calibri" w:cs="Calibri" w:eastAsia="Calibri" w:hAnsi="Calibri"/>
        </w:rPr>
        <w:t xml:space="preserve">☐ Análise agregada dos incidentes com impacto significativo preenchida (alínea c))</w:t>
      </w:r>
    </w:p>
    <w:p>
      <w:pPr>
        <w:pStyle w:val="ListParagraph"/>
        <w:numPr>
          <w:ilvl w:val="0"/>
          <w:numId w:val="1"/>
        </w:numPr>
        <w:spacing w:after="80"/>
      </w:pPr>
      <w:r>
        <w:rPr>
          <w:color w:val="374151"/>
          <w:sz w:val="22"/>
          <w:szCs w:val="22"/>
          <w:rFonts w:ascii="Calibri" w:cs="Calibri" w:eastAsia="Calibri" w:hAnsi="Calibri"/>
        </w:rPr>
        <w:t xml:space="preserve">☐ Recomendações de melhoria identificadas (alínea d))</w:t>
      </w:r>
    </w:p>
    <w:p>
      <w:pPr>
        <w:pStyle w:val="ListParagraph"/>
        <w:numPr>
          <w:ilvl w:val="0"/>
          <w:numId w:val="1"/>
        </w:numPr>
        <w:spacing w:after="80"/>
      </w:pPr>
      <w:r>
        <w:rPr>
          <w:color w:val="374151"/>
          <w:sz w:val="22"/>
          <w:szCs w:val="22"/>
          <w:rFonts w:ascii="Calibri" w:cs="Calibri" w:eastAsia="Calibri" w:hAnsi="Calibri"/>
        </w:rPr>
        <w:t xml:space="preserve">☐ Problemas e medidas correctivas documentados (alínea e))</w:t>
      </w:r>
    </w:p>
    <w:p>
      <w:pPr>
        <w:pStyle w:val="ListParagraph"/>
        <w:numPr>
          <w:ilvl w:val="0"/>
          <w:numId w:val="1"/>
        </w:numPr>
        <w:spacing w:after="80"/>
      </w:pPr>
      <w:r>
        <w:rPr>
          <w:color w:val="374151"/>
          <w:sz w:val="22"/>
          <w:szCs w:val="22"/>
          <w:rFonts w:ascii="Calibri" w:cs="Calibri" w:eastAsia="Calibri" w:hAnsi="Calibri"/>
        </w:rPr>
        <w:t xml:space="preserve">☐ Outra informação relevante considerada (alínea f))</w:t>
      </w:r>
    </w:p>
    <w:p>
      <w:pPr>
        <w:pStyle w:val="ListParagraph"/>
        <w:numPr>
          <w:ilvl w:val="0"/>
          <w:numId w:val="1"/>
        </w:numPr>
        <w:spacing w:after="80"/>
      </w:pPr>
      <w:r>
        <w:rPr>
          <w:color w:val="374151"/>
          <w:sz w:val="22"/>
          <w:szCs w:val="22"/>
          <w:rFonts w:ascii="Calibri" w:cs="Calibri" w:eastAsia="Calibri" w:hAnsi="Calibri"/>
        </w:rPr>
        <w:t xml:space="preserve">☐ Confirmado se existe modelo de utilização obrigatória do CNCS na MyCiber (Art. 13.º n.º 3 do Regulamento n.º 756/2026)</w:t>
      </w:r>
    </w:p>
    <w:p>
      <w:pPr>
        <w:pStyle w:val="ListParagraph"/>
        <w:numPr>
          <w:ilvl w:val="0"/>
          <w:numId w:val="1"/>
        </w:numPr>
        <w:spacing w:after="80"/>
      </w:pPr>
      <w:r>
        <w:rPr>
          <w:color w:val="374151"/>
          <w:sz w:val="22"/>
          <w:szCs w:val="22"/>
          <w:rFonts w:ascii="Calibri" w:cs="Calibri" w:eastAsia="Calibri" w:hAnsi="Calibri"/>
        </w:rPr>
        <w:t xml:space="preserve">☐ Prazo de submissão confirmado em função da qualificação da entidade (Art. 30.º n.os 2 e 4)</w:t>
      </w:r>
    </w:p>
    <w:p>
      <w:pPr>
        <w:pStyle w:val="ListParagraph"/>
        <w:numPr>
          <w:ilvl w:val="0"/>
          <w:numId w:val="1"/>
        </w:numPr>
        <w:spacing w:after="80"/>
      </w:pPr>
      <w:r>
        <w:rPr>
          <w:color w:val="374151"/>
          <w:sz w:val="22"/>
          <w:szCs w:val="22"/>
          <w:rFonts w:ascii="Calibri" w:cs="Calibri" w:eastAsia="Calibri" w:hAnsi="Calibri"/>
        </w:rPr>
        <w:t xml:space="preserve">☐ Relatório assinado pelo responsável de cibersegurança (Art. 30.º n.º 2)</w:t>
      </w:r>
    </w:p>
    <w:p>
      <w:pPr>
        <w:pStyle w:val="ListParagraph"/>
        <w:numPr>
          <w:ilvl w:val="0"/>
          <w:numId w:val="1"/>
        </w:numPr>
        <w:spacing w:after="80"/>
      </w:pPr>
      <w:r>
        <w:rPr>
          <w:color w:val="374151"/>
          <w:sz w:val="22"/>
          <w:szCs w:val="22"/>
          <w:rFonts w:ascii="Calibri" w:cs="Calibri" w:eastAsia="Calibri" w:hAnsi="Calibri"/>
        </w:rPr>
        <w:t xml:space="preserve">☐ Índice de evidências atualizado e documentos de suporte arquivados</w:t>
      </w:r>
    </w:p>
    <w:p>
      <w:pPr>
        <w:pStyle w:val="Heading1"/>
      </w:pPr>
      <w:r>
        <w:rPr>
          <w:b/>
          <w:color w:val="1E3A8A"/>
          <w:sz w:val="28"/>
        </w:rPr>
        <w:t>11. Aprovação do documento</w:t>
      </w:r>
    </w:p>
    <w:tbl>
      <w:tblPr>
        <w:tblW w:type="auto" w:w="0"/>
        <w:tblLook w:firstColumn="1" w:firstRow="1" w:lastColumn="0" w:lastRow="0" w:noHBand="0" w:noVBand="1" w:val="04A0"/>
      </w:tblPr>
      <w:tblGrid>
        <w:gridCol w:w="2256"/>
        <w:gridCol w:w="2256"/>
        <w:gridCol w:w="2256"/>
        <w:gridCol w:w="2256"/>
      </w:tblGrid>
      <w:tr>
        <w:tc>
          <w:tcPr>
            <w:tcW w:type="dxa" w:w="2256"/>
            <w:shd w:val="clear" w:color="auto" w:fill="1E3A8A"/>
            <w:tcBorders>
              <w:top w:val="single" w:sz="4" w:space="0" w:color="D1D5DB"/>
              <w:left w:val="single" w:sz="4" w:space="0" w:color="D1D5DB"/>
              <w:bottom w:val="single" w:sz="4" w:space="0" w:color="D1D5DB"/>
              <w:right w:val="single" w:sz="4" w:space="0" w:color="D1D5DB"/>
            </w:tcBorders>
          </w:tcPr>
          <w:p>
            <w:r/>
            <w:r>
              <w:rPr>
                <w:b/>
                <w:color w:val="FFFFFF"/>
                <w:sz w:val="20"/>
              </w:rPr>
              <w:t>Papel</w:t>
            </w:r>
          </w:p>
        </w:tc>
        <w:tc>
          <w:tcPr>
            <w:tcW w:type="dxa" w:w="2256"/>
            <w:shd w:val="clear" w:color="auto" w:fill="1E3A8A"/>
            <w:tcBorders>
              <w:top w:val="single" w:sz="4" w:space="0" w:color="D1D5DB"/>
              <w:left w:val="single" w:sz="4" w:space="0" w:color="D1D5DB"/>
              <w:bottom w:val="single" w:sz="4" w:space="0" w:color="D1D5DB"/>
              <w:right w:val="single" w:sz="4" w:space="0" w:color="D1D5DB"/>
            </w:tcBorders>
          </w:tcPr>
          <w:p>
            <w:r/>
            <w:r>
              <w:rPr>
                <w:b/>
                <w:color w:val="FFFFFF"/>
                <w:sz w:val="20"/>
              </w:rPr>
              <w:t>Nome</w:t>
            </w:r>
          </w:p>
        </w:tc>
        <w:tc>
          <w:tcPr>
            <w:tcW w:type="dxa" w:w="2256"/>
            <w:shd w:val="clear" w:color="auto" w:fill="1E3A8A"/>
            <w:tcBorders>
              <w:top w:val="single" w:sz="4" w:space="0" w:color="D1D5DB"/>
              <w:left w:val="single" w:sz="4" w:space="0" w:color="D1D5DB"/>
              <w:bottom w:val="single" w:sz="4" w:space="0" w:color="D1D5DB"/>
              <w:right w:val="single" w:sz="4" w:space="0" w:color="D1D5DB"/>
            </w:tcBorders>
          </w:tcPr>
          <w:p>
            <w:r/>
            <w:r>
              <w:rPr>
                <w:b/>
                <w:color w:val="FFFFFF"/>
                <w:sz w:val="20"/>
              </w:rPr>
              <w:t>Cargo</w:t>
            </w:r>
          </w:p>
        </w:tc>
        <w:tc>
          <w:tcPr>
            <w:tcW w:type="dxa" w:w="2256"/>
            <w:shd w:val="clear" w:color="auto" w:fill="1E3A8A"/>
            <w:tcBorders>
              <w:top w:val="single" w:sz="4" w:space="0" w:color="D1D5DB"/>
              <w:left w:val="single" w:sz="4" w:space="0" w:color="D1D5DB"/>
              <w:bottom w:val="single" w:sz="4" w:space="0" w:color="D1D5DB"/>
              <w:right w:val="single" w:sz="4" w:space="0" w:color="D1D5DB"/>
            </w:tcBorders>
          </w:tcPr>
          <w:p>
            <w:r/>
            <w:r>
              <w:rPr>
                <w:b/>
                <w:color w:val="FFFFFF"/>
                <w:sz w:val="20"/>
              </w:rPr>
              <w:t>Data e assinatura</w:t>
            </w:r>
          </w:p>
        </w:tc>
      </w:tr>
      <w:tr>
        <w:tc>
          <w:tcPr>
            <w:tcW w:type="dxa" w:w="2256"/>
            <w:shd w:val="clear" w:color="auto" w:fill="F9FAFB"/>
            <w:tcBorders>
              <w:top w:val="single" w:sz="4" w:space="0" w:color="D1D5DB"/>
              <w:left w:val="single" w:sz="4" w:space="0" w:color="D1D5DB"/>
              <w:bottom w:val="single" w:sz="4" w:space="0" w:color="D1D5DB"/>
              <w:right w:val="single" w:sz="4" w:space="0" w:color="D1D5DB"/>
            </w:tcBorders>
          </w:tcPr>
          <w:p>
            <w:r/>
            <w:r>
              <w:rPr>
                <w:b/>
                <w:color w:val="374151"/>
                <w:sz w:val="20"/>
              </w:rPr>
              <w:t>Elaborado por</w:t>
            </w:r>
          </w:p>
        </w:tc>
        <w:tc>
          <w:tcPr>
            <w:tcW w:type="dxa" w:w="2256"/>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t>[DPO/CISO]</w:t>
            </w:r>
          </w:p>
        </w:tc>
        <w:tc>
          <w:tcPr>
            <w:tcW w:type="dxa" w:w="2256"/>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r>
          </w:p>
        </w:tc>
        <w:tc>
          <w:tcPr>
            <w:tcW w:type="dxa" w:w="2256"/>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r>
          </w:p>
        </w:tc>
      </w:tr>
      <w:tr>
        <w:tc>
          <w:tcPr>
            <w:tcW w:type="dxa" w:w="2256"/>
            <w:shd w:val="clear" w:color="auto" w:fill="FFFFFF"/>
            <w:tcBorders>
              <w:top w:val="single" w:sz="4" w:space="0" w:color="D1D5DB"/>
              <w:left w:val="single" w:sz="4" w:space="0" w:color="D1D5DB"/>
              <w:bottom w:val="single" w:sz="4" w:space="0" w:color="D1D5DB"/>
              <w:right w:val="single" w:sz="4" w:space="0" w:color="D1D5DB"/>
            </w:tcBorders>
          </w:tcPr>
          <w:p>
            <w:r/>
            <w:r>
              <w:rPr>
                <w:b/>
                <w:color w:val="374151"/>
                <w:sz w:val="20"/>
              </w:rPr>
              <w:t>Revisto por</w:t>
            </w:r>
          </w:p>
        </w:tc>
        <w:tc>
          <w:tcPr>
            <w:tcW w:type="dxa" w:w="2256"/>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r>
          </w:p>
        </w:tc>
        <w:tc>
          <w:tcPr>
            <w:tcW w:type="dxa" w:w="2256"/>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r>
          </w:p>
        </w:tc>
        <w:tc>
          <w:tcPr>
            <w:tcW w:type="dxa" w:w="2256"/>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r>
          </w:p>
        </w:tc>
      </w:tr>
      <w:tr>
        <w:tc>
          <w:tcPr>
            <w:tcW w:type="dxa" w:w="2256"/>
            <w:shd w:val="clear" w:color="auto" w:fill="F9FAFB"/>
            <w:tcBorders>
              <w:top w:val="single" w:sz="4" w:space="0" w:color="D1D5DB"/>
              <w:left w:val="single" w:sz="4" w:space="0" w:color="D1D5DB"/>
              <w:bottom w:val="single" w:sz="4" w:space="0" w:color="D1D5DB"/>
              <w:right w:val="single" w:sz="4" w:space="0" w:color="D1D5DB"/>
            </w:tcBorders>
          </w:tcPr>
          <w:p>
            <w:r/>
            <w:r>
              <w:rPr>
                <w:b/>
                <w:color w:val="374151"/>
                <w:sz w:val="20"/>
              </w:rPr>
              <w:t>Aprovado por</w:t>
            </w:r>
          </w:p>
        </w:tc>
        <w:tc>
          <w:tcPr>
            <w:tcW w:type="dxa" w:w="2256"/>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r>
          </w:p>
        </w:tc>
        <w:tc>
          <w:tcPr>
            <w:tcW w:type="dxa" w:w="2256"/>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t>Conselho de Administração</w:t>
            </w:r>
          </w:p>
        </w:tc>
        <w:tc>
          <w:tcPr>
            <w:tcW w:type="dxa" w:w="2256"/>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r>
          </w:p>
        </w:tc>
      </w:tr>
      <w:tr>
        <w:tc>
          <w:tcPr>
            <w:tcW w:type="dxa" w:w="2256"/>
            <w:shd w:val="clear" w:color="auto" w:fill="FFFFFF"/>
            <w:tcBorders>
              <w:top w:val="single" w:sz="4" w:space="0" w:color="D1D5DB"/>
              <w:left w:val="single" w:sz="4" w:space="0" w:color="D1D5DB"/>
              <w:bottom w:val="single" w:sz="4" w:space="0" w:color="D1D5DB"/>
              <w:right w:val="single" w:sz="4" w:space="0" w:color="D1D5DB"/>
            </w:tcBorders>
          </w:tcPr>
          <w:p>
            <w:r/>
            <w:r>
              <w:rPr>
                <w:b/>
                <w:color w:val="374151"/>
                <w:sz w:val="20"/>
              </w:rPr>
              <w:t>Comunicado a</w:t>
            </w:r>
          </w:p>
        </w:tc>
        <w:tc>
          <w:tcPr>
            <w:tcW w:type="dxa" w:w="2256"/>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t>Todos os colaboradores</w:t>
            </w:r>
          </w:p>
        </w:tc>
        <w:tc>
          <w:tcPr>
            <w:tcW w:type="dxa" w:w="2256"/>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r>
          </w:p>
        </w:tc>
        <w:tc>
          <w:tcPr>
            <w:tcW w:type="dxa" w:w="2256"/>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r>
          </w:p>
        </w:tc>
      </w:tr>
    </w:tbl>
    <w:p>
      <w:r>
        <w:rPr>
          <w:i/>
          <w:color w:val="374151"/>
          <w:sz w:val="20"/>
        </w:rPr>
        <w:t>Este documento é controlado pelo sistema de gestão documental da organização. Alterações requerem aprovação formal conforme tabela acima. A próxima revisão deve ocorrer até 14/09/2027.</w:t>
      </w:r>
    </w:p>
    <w:p>
      <w:pPr>
        <w:pStyle w:val="Heading1"/>
      </w:pPr>
      <w:r>
        <w:rPr>
          <w:b/>
          <w:color w:val="1E3A8A"/>
          <w:sz w:val="28"/>
        </w:rPr>
        <w:t>12. Glossário</w:t>
      </w:r>
    </w:p>
    <w:p>
      <w:r>
        <w:rPr>
          <w:color w:val="374151"/>
          <w:sz w:val="22"/>
        </w:rPr>
        <w:t>Para facilitar a leitura, apresentam-se os termos técnicos e legais usados ao longo deste documento.</w:t>
      </w:r>
    </w:p>
    <w:tbl>
      <w:tblPr>
        <w:tblW w:type="auto" w:w="0"/>
        <w:tblLook w:firstColumn="1" w:firstRow="1" w:lastColumn="0" w:lastRow="0" w:noHBand="0" w:noVBand="1" w:val="04A0"/>
      </w:tblPr>
      <w:tblGrid>
        <w:gridCol w:w="4513"/>
        <w:gridCol w:w="4513"/>
      </w:tblGrid>
      <w:tr>
        <w:tc>
          <w:tcPr>
            <w:tcW w:type="dxa" w:w="4513"/>
            <w:shd w:val="clear" w:color="auto" w:fill="1E3A8A"/>
            <w:tcBorders>
              <w:top w:val="single" w:sz="4" w:space="0" w:color="D1D5DB"/>
              <w:left w:val="single" w:sz="4" w:space="0" w:color="D1D5DB"/>
              <w:bottom w:val="single" w:sz="4" w:space="0" w:color="D1D5DB"/>
              <w:right w:val="single" w:sz="4" w:space="0" w:color="D1D5DB"/>
            </w:tcBorders>
          </w:tcPr>
          <w:p>
            <w:r/>
            <w:r>
              <w:rPr>
                <w:b/>
                <w:color w:val="FFFFFF"/>
                <w:sz w:val="20"/>
              </w:rPr>
              <w:t>Termo</w:t>
            </w:r>
          </w:p>
        </w:tc>
        <w:tc>
          <w:tcPr>
            <w:tcW w:type="dxa" w:w="4513"/>
            <w:shd w:val="clear" w:color="auto" w:fill="1E3A8A"/>
            <w:tcBorders>
              <w:top w:val="single" w:sz="4" w:space="0" w:color="D1D5DB"/>
              <w:left w:val="single" w:sz="4" w:space="0" w:color="D1D5DB"/>
              <w:bottom w:val="single" w:sz="4" w:space="0" w:color="D1D5DB"/>
              <w:right w:val="single" w:sz="4" w:space="0" w:color="D1D5DB"/>
            </w:tcBorders>
          </w:tcPr>
          <w:p>
            <w:r/>
            <w:r>
              <w:rPr>
                <w:b/>
                <w:color w:val="FFFFFF"/>
                <w:sz w:val="20"/>
              </w:rPr>
              <w:t>Definição</w:t>
            </w:r>
          </w:p>
        </w:tc>
      </w:tr>
      <w:tr>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color w:val="374151"/>
                <w:sz w:val="20"/>
              </w:rPr>
              <w:t>NIS2</w:t>
            </w:r>
          </w:p>
        </w:tc>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t>Diretiva (UE) 2022/2555 relativa a medidas destinadas a garantir um elevado nível comum de cibersegurança em toda a União (substitui a NIS de 2016)</w:t>
            </w:r>
          </w:p>
        </w:tc>
      </w:tr>
      <w:tr>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color w:val="374151"/>
                <w:sz w:val="20"/>
              </w:rPr>
              <w:t>DL 125/2025</w:t>
            </w:r>
          </w:p>
        </w:tc>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t>Decreto-Lei n.º 125/2025, de 4 de dezembro, que transpõe para Portugal a Diretiva NIS2</w:t>
            </w:r>
          </w:p>
        </w:tc>
      </w:tr>
      <w:tr>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color w:val="374151"/>
                <w:sz w:val="20"/>
              </w:rPr>
              <w:t>CNCS</w:t>
            </w:r>
          </w:p>
        </w:tc>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t>Centro Nacional de Cibersegurança, autoridade competente NIS2 em Portugal (Art. 15.º DL 125/2025)</w:t>
            </w:r>
          </w:p>
        </w:tc>
      </w:tr>
      <w:tr>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color w:val="374151"/>
                <w:sz w:val="20"/>
              </w:rPr>
              <w:t>CERT.PT</w:t>
            </w:r>
          </w:p>
        </w:tc>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t>Equipa de resposta a incidentes de segurança informática nacional integrada no CNCS</w:t>
            </w:r>
          </w:p>
        </w:tc>
      </w:tr>
      <w:tr>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color w:val="374151"/>
                <w:sz w:val="20"/>
              </w:rPr>
              <w:t>OE</w:t>
            </w:r>
          </w:p>
        </w:tc>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t>Entidade Essencial (Art. 6.º DL 125/2025) — entidade sujeita a maiores obrigações e supervisão</w:t>
            </w:r>
          </w:p>
        </w:tc>
      </w:tr>
      <w:tr>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color w:val="374151"/>
                <w:sz w:val="20"/>
              </w:rPr>
              <w:t>OI</w:t>
            </w:r>
          </w:p>
        </w:tc>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t>Entidade Importante (Art. 6.º DL 125/2025) — regime proporcional com supervisão ex-post</w:t>
            </w:r>
          </w:p>
        </w:tc>
      </w:tr>
      <w:tr>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color w:val="374151"/>
                <w:sz w:val="20"/>
              </w:rPr>
              <w:t>SGSI</w:t>
            </w:r>
          </w:p>
        </w:tc>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t>Sistema de Gestão de Segurança da Informação (ISO/IEC 27001)</w:t>
            </w:r>
          </w:p>
        </w:tc>
      </w:tr>
      <w:tr>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color w:val="374151"/>
                <w:sz w:val="20"/>
              </w:rPr>
              <w:t>CSIRT</w:t>
            </w:r>
          </w:p>
        </w:tc>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t>Computer Security Incident Response Team — equipa de resposta a incidentes</w:t>
            </w:r>
          </w:p>
        </w:tc>
      </w:tr>
      <w:tr>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color w:val="374151"/>
                <w:sz w:val="20"/>
              </w:rPr>
              <w:t>SOC</w:t>
            </w:r>
          </w:p>
        </w:tc>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t>Security Operations Centre — centro de operações de segurança</w:t>
            </w:r>
          </w:p>
        </w:tc>
      </w:tr>
      <w:tr>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color w:val="374151"/>
                <w:sz w:val="20"/>
              </w:rPr>
              <w:t>SIEM</w:t>
            </w:r>
          </w:p>
        </w:tc>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t>Security Information and Event Management — correlação e análise de logs</w:t>
            </w:r>
          </w:p>
        </w:tc>
      </w:tr>
      <w:tr>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color w:val="374151"/>
                <w:sz w:val="20"/>
              </w:rPr>
              <w:t>EDR</w:t>
            </w:r>
          </w:p>
        </w:tc>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t>Endpoint Detection and Response — deteção e resposta em endpoints</w:t>
            </w:r>
          </w:p>
        </w:tc>
      </w:tr>
      <w:tr>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color w:val="374151"/>
                <w:sz w:val="20"/>
              </w:rPr>
              <w:t>XDR</w:t>
            </w:r>
          </w:p>
        </w:tc>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t>Extended Detection and Response — deteção estendida (endpoints + rede + cloud)</w:t>
            </w:r>
          </w:p>
        </w:tc>
      </w:tr>
      <w:tr>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color w:val="374151"/>
                <w:sz w:val="20"/>
              </w:rPr>
              <w:t>IAM</w:t>
            </w:r>
          </w:p>
        </w:tc>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t>Identity and Access Management — gestão de identidades e acessos</w:t>
            </w:r>
          </w:p>
        </w:tc>
      </w:tr>
      <w:tr>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color w:val="374151"/>
                <w:sz w:val="20"/>
              </w:rPr>
              <w:t>PAM</w:t>
            </w:r>
          </w:p>
        </w:tc>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t>Privileged Access Management — gestão de acessos privilegiados</w:t>
            </w:r>
          </w:p>
        </w:tc>
      </w:tr>
      <w:tr>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color w:val="374151"/>
                <w:sz w:val="20"/>
              </w:rPr>
              <w:t>MFA</w:t>
            </w:r>
          </w:p>
        </w:tc>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t>Multi-Factor Authentication — autenticação multifator</w:t>
            </w:r>
          </w:p>
        </w:tc>
      </w:tr>
      <w:tr>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color w:val="374151"/>
                <w:sz w:val="20"/>
              </w:rPr>
              <w:t>SSO</w:t>
            </w:r>
          </w:p>
        </w:tc>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t>Single Sign-On — autenticação única</w:t>
            </w:r>
          </w:p>
        </w:tc>
      </w:tr>
      <w:tr>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color w:val="374151"/>
                <w:sz w:val="20"/>
              </w:rPr>
              <w:t>DLP</w:t>
            </w:r>
          </w:p>
        </w:tc>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t>Data Loss Prevention — prevenção de fuga de dados</w:t>
            </w:r>
          </w:p>
        </w:tc>
      </w:tr>
      <w:tr>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color w:val="374151"/>
                <w:sz w:val="20"/>
              </w:rPr>
              <w:t>DPIA</w:t>
            </w:r>
          </w:p>
        </w:tc>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t>Data Protection Impact Assessment (RGPD Art. 35.º) — avaliação de impacto sobre proteção de dados</w:t>
            </w:r>
          </w:p>
        </w:tc>
      </w:tr>
      <w:tr>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color w:val="374151"/>
                <w:sz w:val="20"/>
              </w:rPr>
              <w:t>AIPD</w:t>
            </w:r>
          </w:p>
        </w:tc>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t>Avaliação de Impacto sobre a Proteção de Dados (equivalente PT-PT do DPIA)</w:t>
            </w:r>
          </w:p>
        </w:tc>
      </w:tr>
      <w:tr>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color w:val="374151"/>
                <w:sz w:val="20"/>
              </w:rPr>
              <w:t>RTO</w:t>
            </w:r>
          </w:p>
        </w:tc>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t>Recovery Time Objective — tempo máximo de recuperação aceitável</w:t>
            </w:r>
          </w:p>
        </w:tc>
      </w:tr>
      <w:tr>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color w:val="374151"/>
                <w:sz w:val="20"/>
              </w:rPr>
              <w:t>RPO</w:t>
            </w:r>
          </w:p>
        </w:tc>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t>Recovery Point Objective — perda máxima de dados aceitável</w:t>
            </w:r>
          </w:p>
        </w:tc>
      </w:tr>
      <w:tr>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color w:val="374151"/>
                <w:sz w:val="20"/>
              </w:rPr>
              <w:t>MTTD</w:t>
            </w:r>
          </w:p>
        </w:tc>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t>Mean Time To Detect — tempo médio de deteção</w:t>
            </w:r>
          </w:p>
        </w:tc>
      </w:tr>
      <w:tr>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color w:val="374151"/>
                <w:sz w:val="20"/>
              </w:rPr>
              <w:t>MTTR</w:t>
            </w:r>
          </w:p>
        </w:tc>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t>Mean Time To Respond/Recover — tempo médio de resposta ou recuperação</w:t>
            </w:r>
          </w:p>
        </w:tc>
      </w:tr>
      <w:tr>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color w:val="374151"/>
                <w:sz w:val="20"/>
              </w:rPr>
              <w:t>IoC</w:t>
            </w:r>
          </w:p>
        </w:tc>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t>Indicator of Compromise — indicador de compromisso</w:t>
            </w:r>
          </w:p>
        </w:tc>
      </w:tr>
      <w:tr>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color w:val="374151"/>
                <w:sz w:val="20"/>
              </w:rPr>
              <w:t>TLPT</w:t>
            </w:r>
          </w:p>
        </w:tc>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t>Threat-Led Penetration Testing — teste de penetração baseado em ameaças (DORA Art. 26.º)</w:t>
            </w:r>
          </w:p>
        </w:tc>
      </w:tr>
      <w:tr>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color w:val="374151"/>
                <w:sz w:val="20"/>
              </w:rPr>
              <w:t>TTP</w:t>
            </w:r>
          </w:p>
        </w:tc>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t>Tactics, Techniques and Procedures — táticas, técnicas e procedimentos (MITRE ATT&amp;CK)</w:t>
            </w:r>
          </w:p>
        </w:tc>
      </w:tr>
      <w:tr>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color w:val="374151"/>
                <w:sz w:val="20"/>
              </w:rPr>
              <w:t>CVE</w:t>
            </w:r>
          </w:p>
        </w:tc>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t>Common Vulnerabilities and Exposures — base de dados pública de vulnerabilidades</w:t>
            </w:r>
          </w:p>
        </w:tc>
      </w:tr>
      <w:tr>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color w:val="374151"/>
                <w:sz w:val="20"/>
              </w:rPr>
              <w:t>CVSS</w:t>
            </w:r>
          </w:p>
        </w:tc>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t>Common Vulnerability Scoring System — sistema de pontuação de vulnerabilidades (0-10)</w:t>
            </w:r>
          </w:p>
        </w:tc>
      </w:tr>
      <w:tr>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color w:val="374151"/>
                <w:sz w:val="20"/>
              </w:rPr>
              <w:t>RGPD</w:t>
            </w:r>
          </w:p>
        </w:tc>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t>Regulamento Geral sobre a Proteção de Dados (UE 2016/679)</w:t>
            </w:r>
          </w:p>
        </w:tc>
      </w:tr>
      <w:tr>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color w:val="374151"/>
                <w:sz w:val="20"/>
              </w:rPr>
              <w:t>DORA</w:t>
            </w:r>
          </w:p>
        </w:tc>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t>Digital Operational Resilience Act — Regulamento (UE) 2022/2554 para o setor financeiro</w:t>
            </w:r>
          </w:p>
        </w:tc>
      </w:tr>
    </w:tbl>
    <w:p>
      <w:pPr>
        <w:pStyle w:val="Heading1"/>
      </w:pPr>
      <w:r>
        <w:rPr>
          <w:b/>
          <w:color w:val="1E3A8A"/>
          <w:sz w:val="28"/>
        </w:rPr>
        <w:t>13. Referências a outros templates NIS2</w:t>
      </w:r>
    </w:p>
    <w:p>
      <w:r>
        <w:rPr>
          <w:color w:val="374151"/>
          <w:sz w:val="22"/>
        </w:rPr>
        <w:t>Este template integra-se com o seguinte conjunto de políticas e procedimentos NIS2 disponibilizados em nis2-portugal.com/pages/templates.html:</w:t>
      </w:r>
    </w:p>
    <w:p>
      <w:r>
        <w:rPr>
          <w:color w:val="374151"/>
          <w:sz w:val="22"/>
        </w:rPr>
        <w:t xml:space="preserve">• </w:t>
      </w:r>
      <w:r>
        <w:rPr>
          <w:color w:val="374151"/>
          <w:sz w:val="22"/>
        </w:rPr>
        <w:t>Política de segurança da informação — documento de cúpula</w:t>
      </w:r>
    </w:p>
    <w:p>
      <w:r>
        <w:rPr>
          <w:color w:val="374151"/>
          <w:sz w:val="22"/>
        </w:rPr>
        <w:t xml:space="preserve">• </w:t>
      </w:r>
      <w:r>
        <w:rPr>
          <w:color w:val="374151"/>
          <w:sz w:val="22"/>
        </w:rPr>
        <w:t>Plano de resposta a incidentes — procedimento operacional</w:t>
      </w:r>
    </w:p>
    <w:p>
      <w:r>
        <w:rPr>
          <w:color w:val="374151"/>
          <w:sz w:val="22"/>
        </w:rPr>
        <w:t xml:space="preserve">• </w:t>
      </w:r>
      <w:r>
        <w:rPr>
          <w:color w:val="374151"/>
          <w:sz w:val="22"/>
        </w:rPr>
        <w:t>Matriz de riscos NIS2 — avaliação de riscos Art. 21.º</w:t>
      </w:r>
    </w:p>
    <w:p>
      <w:r>
        <w:rPr>
          <w:color w:val="374151"/>
          <w:sz w:val="22"/>
        </w:rPr>
        <w:t xml:space="preserve">• </w:t>
      </w:r>
      <w:r>
        <w:rPr>
          <w:color w:val="374151"/>
          <w:sz w:val="22"/>
        </w:rPr>
        <w:t>Plano de continuidade de negócio — BIA + DRP</w:t>
      </w:r>
    </w:p>
    <w:p>
      <w:r>
        <w:rPr>
          <w:color w:val="374151"/>
          <w:sz w:val="22"/>
        </w:rPr>
        <w:t xml:space="preserve">• </w:t>
      </w:r>
      <w:r>
        <w:rPr>
          <w:color w:val="374151"/>
          <w:sz w:val="22"/>
        </w:rPr>
        <w:t>Política de controlo de acessos — gestão IAM/PAM</w:t>
      </w:r>
    </w:p>
    <w:p>
      <w:r>
        <w:rPr>
          <w:color w:val="374151"/>
          <w:sz w:val="22"/>
        </w:rPr>
        <w:t xml:space="preserve">• </w:t>
      </w:r>
      <w:r>
        <w:rPr>
          <w:color w:val="374151"/>
          <w:sz w:val="22"/>
        </w:rPr>
        <w:t>Checklist de conformidade Art. 21.º — autoavaliação</w:t>
      </w:r>
    </w:p>
    <w:p>
      <w:r>
        <w:rPr>
          <w:color w:val="374151"/>
          <w:sz w:val="22"/>
        </w:rPr>
        <w:t xml:space="preserve">• </w:t>
      </w:r>
      <w:r>
        <w:rPr>
          <w:color w:val="374151"/>
          <w:sz w:val="22"/>
        </w:rPr>
        <w:t>Questionário de due diligence de fornecedores — cadeia de abastecimento</w:t>
      </w:r>
    </w:p>
    <w:p>
      <w:r>
        <w:rPr>
          <w:color w:val="374151"/>
          <w:sz w:val="22"/>
        </w:rPr>
        <w:t xml:space="preserve">• </w:t>
      </w:r>
      <w:r>
        <w:rPr>
          <w:color w:val="374151"/>
          <w:sz w:val="22"/>
        </w:rPr>
        <w:t>Programa de formação e sensibilização — Art. 20.º DL 125/2025</w:t>
      </w:r>
    </w:p>
    <w:p>
      <w:r>
        <w:rPr>
          <w:i/>
          <w:color w:val="374151"/>
          <w:sz w:val="20"/>
        </w:rPr>
        <w:t>Todos os templates referidos estão disponíveis para download gratuito em https://nis2-portugal.com/pages/templates.html. A utilização conjunta garante cobertura completa dos requisitos do Art. 21.º do DL 125/2025.</w:t>
      </w:r>
    </w:p>
    <w:sectPr>
      <w:headerReference w:type="default" r:id="rId6"/>
      <w:footerReference w:type="default" r:id="rId7"/>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1e3a8a" w:sz="6" w:space="1"/>
      </w:pBdr>
      <w:jc w:val="center"/>
    </w:pPr>
    <w:r>
      <w:rPr>
        <w:color w:val="9ca3af"/>
        <w:sz w:val="18"/>
        <w:szCs w:val="18"/>
        <w:rFonts w:ascii="Calibri" w:cs="Calibri" w:eastAsia="Calibri" w:hAnsi="Calibri"/>
      </w:rPr>
      <w:t xml:space="preserve">Confidencial  |  Página </w:t>
    </w:r>
    <w:r>
      <w:rPr>
        <w:color w:val="9ca3af"/>
        <w:sz w:val="18"/>
        <w:szCs w:val="18"/>
        <w:rFonts w:ascii="Calibri" w:cs="Calibri" w:eastAsia="Calibri" w:hAnsi="Calibri"/>
      </w:rPr>
      <w:fldChar w:fldCharType="begin"/>
      <w:instrText xml:space="preserve">PAGE</w:instrText>
      <w:fldChar w:fldCharType="separate"/>
      <w:fldChar w:fldCharType="end"/>
    </w:r>
    <w:r>
      <w:rPr>
        <w:color w:val="9ca3af"/>
        <w:sz w:val="18"/>
        <w:szCs w:val="18"/>
        <w:rFonts w:ascii="Calibri" w:cs="Calibri" w:eastAsia="Calibri" w:hAnsi="Calibri"/>
      </w:rPr>
      <w:t xml:space="preserve"> de </w:t>
    </w:r>
    <w:r>
      <w:rPr>
        <w:color w:val="9ca3af"/>
        <w:sz w:val="18"/>
        <w:szCs w:val="18"/>
        <w:rFonts w:ascii="Calibri" w:cs="Calibri" w:eastAsia="Calibri" w:hAnsi="Calibri"/>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1e3a8a" w:sz="6" w:space="1"/>
      </w:pBdr>
      <w:jc w:val="right"/>
    </w:pPr>
    <w:r>
      <w:rPr>
        <w:color w:val="9ca3af"/>
        <w:sz w:val="18"/>
        <w:szCs w:val="18"/>
        <w:rFonts w:ascii="Calibri" w:cs="Calibri" w:eastAsia="Calibri" w:hAnsi="Calibri"/>
      </w:rPr>
      <w:t xml:space="preserve">Relatório anual sobre o estado da cibersegurança — Art. 30.º — DL 125/2025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header" Target="header1.xml"/><Relationship Id="rId7" Type="http://schemas.openxmlformats.org/officeDocument/2006/relationships/footer" Target="footer1.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NIS2 Portugal — nis2-portugal.com</dc:creator>
  <cp:lastModifiedBy>NIS2 Portugal</cp:lastModifiedBy>
  <cp:revision>1</cp:revision>
  <dcterms:created xsi:type="dcterms:W3CDTF">2026-09-14T21:29:07.481Z</dcterms:created>
  <dcterms:modified xsi:type="dcterms:W3CDTF">2026-09-14T21:29:07.481Z</dcterms:modified>
  <dc:title>Relatorio anual ciberseguranca</dc:title>
  <dc:subject>Template NIS2 — conformidade DL 125/2025</dc:subject>
  <cp:keywords>NIS2, DL 125/2025, cibersegurança, conformidade, Portugal</cp:keywords>
  <cp:category>Template NIS2</cp:category>
  <dc:description>Template profissional gratuito disponibilizado em nis2-portugal.com</dc:description>
</cp:coreProperties>
</file>

<file path=docProps/custom.xml><?xml version="1.0" encoding="utf-8"?>
<Properties xmlns="http://schemas.openxmlformats.org/officeDocument/2006/custom-properties" xmlns:vt="http://schemas.openxmlformats.org/officeDocument/2006/docPropsVTypes"/>
</file>