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</w:pPr>
    </w:p>
    <w:p>
      <w:pPr>
        <w:spacing w:after="600"/>
        <w:jc w:val="center"/>
      </w:pPr>
      <w:r>
        <w:rPr>
          <w:i/>
          <w:iCs/>
          <w:color w:val="9ca3af"/>
          <w:sz w:val="22"/>
          <w:szCs w:val="22"/>
          <w:rFonts w:ascii="Calibri" w:cs="Calibri" w:eastAsia="Calibri" w:hAnsi="Calibri"/>
        </w:rPr>
        <w:t xml:space="preserve">[Nome da organização]</w:t>
      </w:r>
    </w:p>
    <w:p>
      <w:pPr>
        <w:spacing w:after="300"/>
        <w:jc w:val="center"/>
      </w:pPr>
      <w:r>
        <w:rPr>
          <w:b/>
          <w:bCs/>
          <w:color w:val="1e3a8a"/>
          <w:sz w:val="28"/>
          <w:szCs w:val="28"/>
          <w:rFonts w:ascii="Calibri" w:cs="Calibri" w:eastAsia="Calibri" w:hAnsi="Calibri"/>
        </w:rPr>
        <w:t xml:space="preserve">Relatório intercalar de incidente</w:t>
      </w:r>
    </w:p>
    <w:p>
      <w:pPr>
        <w:spacing w:after="1200"/>
        <w:jc w:val="center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Formulário — Art. 44.º n.os 3 e 4 do DL 125/2025 (periodicidade semanal, a pedido da autoridade)</w:t>
      </w:r>
    </w:p>
    <w:p>
      <w:pPr>
        <w:spacing w:after="160"/>
        <w:jc w:val="center"/>
      </w:pPr>
      <w:r>
        <w:rPr>
          <w:b/>
          <w:bCs/>
          <w:color w:val="374151"/>
          <w:sz w:val="22"/>
          <w:szCs w:val="22"/>
          <w:rFonts w:ascii="Calibri" w:cs="Calibri" w:eastAsia="Calibri" w:hAnsi="Calibri"/>
        </w:rPr>
        <w:t xml:space="preserve">Versão: </w:t>
      </w:r>
      <w:r>
        <w:rPr>
          <w:color w:val="374151"/>
          <w:sz w:val="22"/>
          <w:szCs w:val="22"/>
          <w:rFonts w:ascii="Calibri" w:cs="Calibri" w:eastAsia="Calibri" w:hAnsi="Calibri"/>
        </w:rPr>
        <w:t xml:space="preserve">1.0</w:t>
      </w:r>
    </w:p>
    <w:p>
      <w:pPr>
        <w:spacing w:after="160"/>
        <w:jc w:val="center"/>
      </w:pPr>
      <w:r>
        <w:rPr>
          <w:b/>
          <w:bCs/>
          <w:color w:val="374151"/>
          <w:sz w:val="22"/>
          <w:szCs w:val="22"/>
          <w:rFonts w:ascii="Calibri" w:cs="Calibri" w:eastAsia="Calibri" w:hAnsi="Calibri"/>
        </w:rPr>
        <w:t xml:space="preserve">Data: </w:t>
      </w:r>
      <w:r>
        <w:rPr>
          <w:color w:val="374151"/>
          <w:sz w:val="22"/>
          <w:szCs w:val="22"/>
          <w:rFonts w:ascii="Calibri" w:cs="Calibri" w:eastAsia="Calibri" w:hAnsi="Calibri"/>
        </w:rPr>
        <w:t xml:space="preserve">14/09/2026</w:t>
      </w:r>
    </w:p>
    <w:p>
      <w:pPr>
        <w:spacing w:after="400"/>
        <w:jc w:val="center"/>
      </w:pPr>
      <w:r>
        <w:rPr>
          <w:b/>
          <w:bCs/>
          <w:color w:val="374151"/>
          <w:sz w:val="22"/>
          <w:szCs w:val="22"/>
          <w:rFonts w:ascii="Calibri" w:cs="Calibri" w:eastAsia="Calibri" w:hAnsi="Calibri"/>
        </w:rPr>
        <w:t xml:space="preserve">Classificação: </w:t>
      </w:r>
      <w:r>
        <w:rPr>
          <w:b/>
          <w:bCs/>
          <w:color w:val="dc2626"/>
          <w:sz w:val="22"/>
          <w:szCs w:val="22"/>
          <w:rFonts w:ascii="Calibri" w:cs="Calibri" w:eastAsia="Calibri" w:hAnsi="Calibri"/>
        </w:rPr>
        <w:t xml:space="preserve">Confidencial</w:t>
      </w:r>
    </w:p>
    <w:p>
      <w:r>
        <w:br w:type="page"/>
      </w:r>
    </w:p>
    <w:p>
      <w:pPr>
        <w:pStyle w:val="Heading2"/>
        <w:spacing w:before="320" w:after="160"/>
      </w:pPr>
      <w:r>
        <w:rPr>
          <w:b/>
          <w:bCs/>
          <w:color w:val="1e3a8a"/>
          <w:sz w:val="28"/>
          <w:szCs w:val="28"/>
          <w:rFonts w:ascii="Calibri" w:cs="Calibri" w:eastAsia="Calibri" w:hAnsi="Calibri"/>
        </w:rPr>
        <w:t xml:space="preserve">Controlo de versões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Versão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Data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Autor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Alterações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Aprovado por</w:t>
            </w:r>
          </w:p>
        </w:tc>
      </w:tr>
      <w:tr>
        <w:tc>
          <w:p>
            <w:r>
              <w:rPr>
                <w:color w:val="374151"/>
                <w:sz w:val="22"/>
                <w:szCs w:val="22"/>
                <w:rFonts w:ascii="Calibri" w:cs="Calibri" w:eastAsia="Calibri" w:hAnsi="Calibri"/>
              </w:rPr>
              <w:t xml:space="preserve">1.0</w:t>
            </w:r>
          </w:p>
        </w:tc>
        <w:tc>
          <w:p>
            <w:r>
              <w:rPr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p>
            <w:r>
              <w:rPr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[Autor]</w:t>
            </w:r>
          </w:p>
        </w:tc>
        <w:tc>
          <w:p>
            <w:r>
              <w:rPr>
                <w:color w:val="374151"/>
                <w:sz w:val="22"/>
                <w:szCs w:val="22"/>
                <w:rFonts w:ascii="Calibri" w:cs="Calibri" w:eastAsia="Calibri" w:hAnsi="Calibri"/>
              </w:rPr>
              <w:t xml:space="preserve">Versão inicial</w:t>
            </w:r>
          </w:p>
        </w:tc>
        <w:tc>
          <w:p>
            <w:r>
              <w:rPr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[Aprovador]</w:t>
            </w:r>
          </w:p>
        </w:tc>
      </w:tr>
    </w:tbl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Como usar este documento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Este documento apoia o preenchimento do relatório intercalar de incidente, exigível apenas quando, decorrido o prazo de 30 dias úteis para apresentação do relatório final, o incidente ainda se encontra em curso e a autoridade de cibersegurança competente solicita atualizações periódicas.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Só é aplicável se o incidente ainda estiver em curso após o prazo do relatório final e a autoridade tiver solicitado expressamente este relatório.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 periodicidade é semanal, mantendo-se até à apresentação do relatório final.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O conteúdo mínimo exigido por lei é idêntico ao da notificação de fim de impacto (Art. 43.º n.º 2) — usar a informação mais atualizada disponível em cada submissão semanal.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Preencher os campos entre parênteses retos e submeter na plataforma eletrónica MyCiber.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Manter o registo de submissões semanais na tabela do Anexo, para efeitos de controlo interno e auditoria.</w:t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Enquadramento legal</w:t>
      </w:r>
    </w:p>
    <w:p>
      <w:pPr>
        <w:shd w:color="dbeafe" w:val="solid"/>
        <w:spacing w:before="160" w:after="160"/>
        <w:ind w:left="360" w:right="360"/>
      </w:pPr>
      <w:r>
        <w:rPr>
          <w:i/>
          <w:iCs/>
          <w:color w:val="1e3a8a"/>
          <w:sz w:val="22"/>
          <w:szCs w:val="22"/>
          <w:rFonts w:ascii="Calibri" w:cs="Calibri" w:eastAsia="Calibri" w:hAnsi="Calibri"/>
        </w:rPr>
        <w:t xml:space="preserve">Art. 44.º n.º 3 do DL 125/2025: "Na hipótese de, decorrido o prazo para apresentação do relatório final, o incidente ainda se encontrar em curso, a entidade essencial, importante ou pública relevante em causa deve apresentar relatório intercalar a autoridade de cibersegurança competente, a pedido destas entidades e com periodicidade semanal até ao momento da apresentação do relatório final."</w:t>
      </w:r>
    </w:p>
    <w:p>
      <w:pPr>
        <w:shd w:color="dbeafe" w:val="solid"/>
        <w:spacing w:before="160" w:after="160"/>
        <w:ind w:left="360" w:right="360"/>
      </w:pPr>
      <w:r>
        <w:rPr>
          <w:i/>
          <w:iCs/>
          <w:color w:val="1e3a8a"/>
          <w:sz w:val="22"/>
          <w:szCs w:val="22"/>
          <w:rFonts w:ascii="Calibri" w:cs="Calibri" w:eastAsia="Calibri" w:hAnsi="Calibri"/>
        </w:rPr>
        <w:t xml:space="preserve">Art. 44.º n.º 4 do DL 125/2025 (conteúdo mínimo, idêntico ao da notificação de fim de impacto): "a) Atualização da informação transmitida na notificação inicial, caso exista; b) Breve descrição das medidas adotadas para a resolução do incidente; c) Descrição da situação de impacto existente no momento da perda de impacto significativo, nomeadamente: i) Número de utilizadores afetados pela perturbação do serviço; ii) Duração do incidente; iii) Distribuição geográfica [...], incluindo a indicação de impacto transfronteiriço; iv) Tempo estimado para a recuperação total dos serviços."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Canal de submissão: plataforma eletrónica MyCiber, através de formulário próprio na área reservada da entidade (Regulamento 756/2026, art. 20.º n.º 1 alínea c)). A plataforma associa automaticamente as diferentes notificações relacionadas com o mesmo incidente (Regulamento 756/2026, art. 22.º n.º 2) e emite alertas sobre o decurso dos prazos dos arts. 42.º a 44.º do DL 125/2025 (art. 22.º n.º 3), sem que a ausência desses alertas dispense o cumprimento atempado das obrigações (art. 22.º n.º 4). Em caso de indisponibilidade da plataforma, o canal de exceção do art. 20.º n.º 4 do Regulamento usa o correio eletrónico ou o contacto telefónico da autoridade de cibersegurança competente — contacto geral confirmado do CNCS: (+351) 210 497 400 / cncs@cncs.gov.pt (não confundir com o CERT.PT, (+351) 210 497 399 / cert@cert.pt); a confirmar diretamente no sítio do CNCS qual dos dois é o canal de exceção aplicável.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Nota de leitura: a lei não distingue um formulário próprio para o relatório intercalar do formulário da notificação de fim de impacto — o conteúdo exigido é o mesmo (compare-se o Art. 44.º n.º 4 com o Art. 43.º n.º 2). A diferença está na periodicidade (semanal, repetida) e no facto de decorrer de pedido expresso da autoridade, não de um prazo fixo automático.</w:t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Onde se situa este documento no ciclo de notificação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Ciclo regular: notificação inicial (24h, Art. 42.º) → atualização quando necessário (72h, Art. 42.º n.º 3) → notificação de fim de impacto (24h, Art. 43.º) → relatório final (30 dias úteis, Art. 44.º n.º 1). O relatório intercalar insere-se apenas quando o incidente persiste para além do prazo do relatório final: repete-se semanalmente, a pedido da autoridade, até o relatório final ser finalmente apresentado.</w:t>
      </w:r>
    </w:p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1. Identificação do incidente e do pedido da autoridade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6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Valor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Referência do incidente (plataforma MyCiber)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[INC-AAAA-NNN]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Data de início do incidente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[DD/MM/AAAA HH:MM]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Prazo do relatório final (30 dias úteis) — já expirado?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[Sim, em DD/MM/AAAA]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Data do pedido de relatório intercalar pela autoridade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[DD/MM/AAAA]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Número de ordem deste relatório intercalar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[N.º 1, 2, 3...]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Data desta submissão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[DD/MM/AAAA]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Próxima submissão prevista (7 dias depois)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[DD/MM/AAAA]</w:t>
            </w:r>
          </w:p>
        </w:tc>
      </w:tr>
    </w:tbl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2. Identificação da entidade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6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Valor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Nome da entidade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 da organização]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NIF/NIPC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[Número]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Tipo de entidade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[Essencial / Importante / Pública relevante]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Ponto de contacto permanente (Art. 32.º)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[Nome, email, telefone]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Classe/tipo do incidente (taxonomia CNCS/RNCSIRT)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[Ver "Ficha de avaliação de significância do incidente"]</w:t>
            </w:r>
          </w:p>
        </w:tc>
      </w:tr>
    </w:tbl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3. Atualização da informação da notificação inicial</w:t>
      </w:r>
    </w:p>
    <w:p>
      <w:pPr>
        <w:shd w:color="dbeafe" w:val="solid"/>
        <w:spacing w:before="160" w:after="160"/>
        <w:ind w:left="360" w:right="360"/>
      </w:pPr>
      <w:r>
        <w:rPr>
          <w:i/>
          <w:iCs/>
          <w:color w:val="1e3a8a"/>
          <w:sz w:val="22"/>
          <w:szCs w:val="22"/>
          <w:rFonts w:ascii="Calibri" w:cs="Calibri" w:eastAsia="Calibri" w:hAnsi="Calibri"/>
        </w:rPr>
        <w:t xml:space="preserve">Base legal: Art. 44.º n.º 4 alínea a) do DL 125/2025.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[Descrever o que mudou desde a última submissão: novos factos, revisão da classe/tipo de incidente segundo a taxonomia CNCS/RNCSIRT (ver o template "Ficha de avaliação de significância do incidente"), correções de estimativas anteriores.]</w:t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4. Estado da contenção e medidas adotadas até à data</w:t>
      </w:r>
    </w:p>
    <w:p>
      <w:pPr>
        <w:shd w:color="dbeafe" w:val="solid"/>
        <w:spacing w:before="160" w:after="160"/>
        <w:ind w:left="360" w:right="360"/>
      </w:pPr>
      <w:r>
        <w:rPr>
          <w:i/>
          <w:iCs/>
          <w:color w:val="1e3a8a"/>
          <w:sz w:val="22"/>
          <w:szCs w:val="22"/>
          <w:rFonts w:ascii="Calibri" w:cs="Calibri" w:eastAsia="Calibri" w:hAnsi="Calibri"/>
        </w:rPr>
        <w:t xml:space="preserve">Base legal: Art. 44.º n.º 4 alínea b) do DL 125/2025.</w:t>
      </w:r>
    </w:p>
    <w:p>
      <w:pPr>
        <w:pStyle w:val="Heading2"/>
        <w:spacing w:before="320" w:after="160"/>
      </w:pPr>
      <w:r>
        <w:rPr>
          <w:b/>
          <w:bCs/>
          <w:color w:val="1e3a8a"/>
          <w:sz w:val="28"/>
          <w:szCs w:val="28"/>
          <w:rFonts w:ascii="Calibri" w:cs="Calibri" w:eastAsia="Calibri" w:hAnsi="Calibri"/>
        </w:rPr>
        <w:t xml:space="preserve">4.1. Ações de contenção em curso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[Descrever as medidas de contenção ainda em aplicação e o respetivo estado de execução.]</w:t>
      </w:r>
    </w:p>
    <w:p>
      <w:pPr>
        <w:pStyle w:val="Heading2"/>
        <w:spacing w:before="320" w:after="160"/>
      </w:pPr>
      <w:r>
        <w:rPr>
          <w:b/>
          <w:bCs/>
          <w:color w:val="1e3a8a"/>
          <w:sz w:val="28"/>
          <w:szCs w:val="28"/>
          <w:rFonts w:ascii="Calibri" w:cs="Calibri" w:eastAsia="Calibri" w:hAnsi="Calibri"/>
        </w:rPr>
        <w:t xml:space="preserve">4.2. Ações de erradicação e recuperação em curso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[Descrever o progresso das ações destinadas a eliminar a causa raiz e a restabelecer os serviços afetados.]</w:t>
      </w:r>
    </w:p>
    <w:p>
      <w:pPr>
        <w:pStyle w:val="Heading2"/>
        <w:spacing w:before="320" w:after="160"/>
      </w:pPr>
      <w:r>
        <w:rPr>
          <w:b/>
          <w:bCs/>
          <w:color w:val="1e3a8a"/>
          <w:sz w:val="28"/>
          <w:szCs w:val="28"/>
          <w:rFonts w:ascii="Calibri" w:cs="Calibri" w:eastAsia="Calibri" w:hAnsi="Calibri"/>
        </w:rPr>
        <w:t xml:space="preserve">4.3. Obstáculos e dificuldades identificadas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[Indicar eventuais obstáculos técnicos, operacionais ou de recursos que atrasem a resolução.]</w:t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5. Situação de impacto à data desta submissão</w:t>
      </w:r>
    </w:p>
    <w:p>
      <w:pPr>
        <w:shd w:color="dbeafe" w:val="solid"/>
        <w:spacing w:before="160" w:after="160"/>
        <w:ind w:left="360" w:right="360"/>
      </w:pPr>
      <w:r>
        <w:rPr>
          <w:i/>
          <w:iCs/>
          <w:color w:val="1e3a8a"/>
          <w:sz w:val="22"/>
          <w:szCs w:val="22"/>
          <w:rFonts w:ascii="Calibri" w:cs="Calibri" w:eastAsia="Calibri" w:hAnsi="Calibri"/>
        </w:rPr>
        <w:t xml:space="preserve">Base legal: Art. 44.º n.º 4 alínea c) do DL 125/2025.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6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Valor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Número de utilizadores ainda afetados pela perturbação do serviço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[Número ou estimativa]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Duração acumulada do incidente até à data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[Horas/dias]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Distribuição geográfica da zona ainda afetada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[Concelhos/regiões/países]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Impacto transfronteiriço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[Sim/Não — detalhar Estados-Membros afetados]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Tempo estimado (revisto) para a recuperação total dos serviços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[Horas/dias]</w:t>
            </w:r>
          </w:p>
        </w:tc>
      </w:tr>
    </w:tbl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6. Evidência recolhida desde o último relatório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[Logs, capturas de tráfego, imagens forenses, relatórios de terceiros — identificar e referenciar sem anexar dados sensíveis desnecessários.]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[Cadeia de custódia da evidência, se aplicável a processo de investigação em curso.]</w:t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7. Próximos passos até à próxima submissão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[Plano de ação para os próximos 7 dias: ações previstas, responsáveis, data prevista para o relatório final.]</w:t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8. Notificação a outras autoridades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O cumprimento da notificação ao CNCS (ou autoridade setorial) não dispensa outras obrigações de notificação a que a entidade esteja sujeita, nomeadamente perante o Ministério Público, a Polícia Judiciária, a CNPD ou outras autoridades setoriais (Art. 40.º n.º 5 do DL 125/2025). Se ainda não tiver sido feita e o incidente envolver dados pessoais, confirmar o estado da notificação à CNPD nos termos do art. 33.º do RGPD, através do formulário próprio em cnpd.pt/databreach/ — e documentar internamente a decisão mesmo que se conclua que a notificação não é exigível (art. 33.º n.º 5 do RGPD).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Autoridade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Data notificação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Referência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Estado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CNCS / autoridade setorial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CNPD (se dados pessoais, RGPD art. 33.º)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Ministério Público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Polícia Judiciária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Outras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</w:tbl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9. Perguntas frequentes (orientação interna, não substitui a lei)</w:t>
      </w:r>
    </w:p>
    <w:p>
      <w:pPr>
        <w:pStyle w:val="Heading2"/>
        <w:spacing w:before="320" w:after="160"/>
      </w:pPr>
      <w:r>
        <w:rPr>
          <w:b/>
          <w:bCs/>
          <w:color w:val="1e3a8a"/>
          <w:sz w:val="28"/>
          <w:szCs w:val="28"/>
          <w:rFonts w:ascii="Calibri" w:cs="Calibri" w:eastAsia="Calibri" w:hAnsi="Calibri"/>
        </w:rPr>
        <w:t xml:space="preserve">9.1. Quantos relatórios intercalares podem ser exigidos?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[A lei não fixa um número máximo — a periodicidade semanal mantém-se "até ao momento da apresentação do relatório final" (Art. 44.º n.º 3), ou seja, enquanto o incidente estiver em curso e a autoridade continuar a solicitar atualizações.]</w:t>
      </w:r>
    </w:p>
    <w:p>
      <w:pPr>
        <w:pStyle w:val="Heading2"/>
        <w:spacing w:before="320" w:after="160"/>
      </w:pPr>
      <w:r>
        <w:rPr>
          <w:b/>
          <w:bCs/>
          <w:color w:val="1e3a8a"/>
          <w:sz w:val="28"/>
          <w:szCs w:val="28"/>
          <w:rFonts w:ascii="Calibri" w:cs="Calibri" w:eastAsia="Calibri" w:hAnsi="Calibri"/>
        </w:rPr>
        <w:t xml:space="preserve">9.2. O que acontece se o incidente for resolvido entre duas submissões semanais?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[Assim que o incidente deixar de estar em curso, deve preparar-se o relatório final (Art. 44.º n.º 1 e n.º 2), que substitui a necessidade de novos relatórios intercalares. Confirmar com a autoridade se pretende ainda um último relatório intercalar de fecho.]</w:t>
      </w:r>
    </w:p>
    <w:p>
      <w:pPr>
        <w:pStyle w:val="Heading2"/>
        <w:spacing w:before="320" w:after="160"/>
      </w:pPr>
      <w:r>
        <w:rPr>
          <w:b/>
          <w:bCs/>
          <w:color w:val="1e3a8a"/>
          <w:sz w:val="28"/>
          <w:szCs w:val="28"/>
          <w:rFonts w:ascii="Calibri" w:cs="Calibri" w:eastAsia="Calibri" w:hAnsi="Calibri"/>
        </w:rPr>
        <w:t xml:space="preserve">9.3. O relatório intercalar substitui o relatório final?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[Não. O relatório final (Art. 44.º n.º 1 e n.º 2) tem conteúdo mais amplo — inclui, entre outros, a categorização da causa e dos efeitos, as medidas adotadas para mitigar o incidente e a indicação de notificações feitas a outras autoridades — e é sempre devido, mesmo depois de vários relatórios intercalares.]</w:t>
      </w:r>
    </w:p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Anexo A — Registo de relatórios intercalares submetidos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N.º do relatório intercalar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Data de submissão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Solicitado pela autoridade em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Estado do incidente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Intercalar n.º 1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Intercalar n.º 2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Intercalar n.º 3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Intercalar n.º 4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</w:tbl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Anexo B — Checklist de verificação antes de submeter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Confirmei que a autoridade solicitou expressamente este relatório intercalar e que o incidente permanece em curso.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Atualizei a informação da notificação inicial face à última submissão.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Descrevi o estado da contenção, erradicação e recuperação, incluindo obstáculos.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Preenchi os quatro elementos da situação de impacto: utilizadores afetados, duração, distribuição geográfica/impacto transfronteiriço, tempo estimado de recuperação total.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Registei esta submissão na tabela de controlo interno (Anexo A).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Agendei a próxima submissão semanal, salvo apresentação entretanto do relatório final.</w:t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Declaração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Declaro que as informações constantes do presente relatório intercalar são verdadeiras e refletem o estado do incidente à data desta submissão.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3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7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Preenchimento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Nome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Cargo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Data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Assinatura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</w:tbl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Nota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Este modelo não substitui aconselhamento jurídico. A submissão à autoridade de cibersegurança competente deve seguir sempre o formulário e os procedimentos em vigor na plataforma MyCiber.</w:t>
      </w:r>
    </w:p>
    <w:p>
      <w:pPr>
        <w:pStyle w:val="Heading1"/>
      </w:pPr>
      <w:r>
        <w:rPr>
          <w:b/>
          <w:color w:val="1E3A8A"/>
          <w:sz w:val="28"/>
        </w:rPr>
        <w:t>10. Aprovação do documento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256"/>
        <w:gridCol w:w="2256"/>
        <w:gridCol w:w="2256"/>
        <w:gridCol w:w="2256"/>
      </w:tblGrid>
      <w:tr>
        <w:tc>
          <w:tcPr>
            <w:tcW w:type="dxa" w:w="2256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Papel</w:t>
            </w:r>
          </w:p>
        </w:tc>
        <w:tc>
          <w:tcPr>
            <w:tcW w:type="dxa" w:w="2256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Nome</w:t>
            </w:r>
          </w:p>
        </w:tc>
        <w:tc>
          <w:tcPr>
            <w:tcW w:type="dxa" w:w="2256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Cargo</w:t>
            </w:r>
          </w:p>
        </w:tc>
        <w:tc>
          <w:tcPr>
            <w:tcW w:type="dxa" w:w="2256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Data e assinatura</w:t>
            </w:r>
          </w:p>
        </w:tc>
      </w:tr>
      <w:tr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Elaborado por</w:t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[DPO/CISO]</w:t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</w:tr>
      <w:tr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Revisto por</w:t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</w:tr>
      <w:tr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Aprovado por</w:t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Conselho de Administração</w:t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</w:tr>
      <w:tr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Comunicado a</w:t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Todos os colaboradores</w:t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</w:tr>
    </w:tbl>
    <w:p>
      <w:r>
        <w:rPr>
          <w:i/>
          <w:color w:val="374151"/>
          <w:sz w:val="20"/>
        </w:rPr>
        <w:t>Este documento é controlado pelo sistema de gestão documental da organização. Alterações requerem aprovação formal conforme tabela acima. A próxima revisão deve ocorrer até 14/09/2027.</w:t>
      </w:r>
    </w:p>
    <w:p>
      <w:pPr>
        <w:pStyle w:val="Heading1"/>
      </w:pPr>
      <w:r>
        <w:rPr>
          <w:b/>
          <w:color w:val="1E3A8A"/>
          <w:sz w:val="28"/>
        </w:rPr>
        <w:t>11. Glossário</w:t>
      </w:r>
    </w:p>
    <w:p>
      <w:r>
        <w:rPr>
          <w:color w:val="374151"/>
          <w:sz w:val="22"/>
        </w:rPr>
        <w:t>Para facilitar a leitura, apresentam-se os termos técnicos e legais usados ao longo deste documento.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513"/>
        <w:gridCol w:w="4513"/>
      </w:tblGrid>
      <w:tr>
        <w:tc>
          <w:tcPr>
            <w:tcW w:type="dxa" w:w="4513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Termo</w:t>
            </w:r>
          </w:p>
        </w:tc>
        <w:tc>
          <w:tcPr>
            <w:tcW w:type="dxa" w:w="4513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Definição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NIS2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Diretiva (UE) 2022/2555 relativa a medidas destinadas a garantir um elevado nível comum de cibersegurança em toda a União (substitui a NIS de 2016)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DL 125/2025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Decreto-Lei n.º 125/2025, de 4 de dezembro, que transpõe para Portugal a Diretiva NIS2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CNCS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Centro Nacional de Cibersegurança, autoridade competente NIS2 em Portugal (Art. 15.º DL 125/2025)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CERT.PT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Equipa de resposta a incidentes de segurança informática nacional integrada no CNCS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OE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Entidade Essencial (Art. 6.º DL 125/2025) — entidade sujeita a maiores obrigações e supervisão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OI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Entidade Importante (Art. 6.º DL 125/2025) — regime proporcional com supervisão ex-post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SGSI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Sistema de Gestão de Segurança da Informação (ISO/IEC 27001)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CSIRT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Computer Security Incident Response Team — equipa de resposta a incidentes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SOC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Security Operations Centre — centro de operações de segurança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SIEM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Security Information and Event Management — correlação e análise de logs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EDR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Endpoint Detection and Response — deteção e resposta em endpoints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XDR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Extended Detection and Response — deteção estendida (endpoints + rede + cloud)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IAM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Identity and Access Management — gestão de identidades e acessos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PAM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Privileged Access Management — gestão de acessos privilegiados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MFA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Multi-Factor Authentication — autenticação multifator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SSO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Single Sign-On — autenticação única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DLP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Data Loss Prevention — prevenção de fuga de dados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DPIA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Data Protection Impact Assessment (RGPD Art. 35.º) — avaliação de impacto sobre proteção de dados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AIPD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Avaliação de Impacto sobre a Proteção de Dados (equivalente PT-PT do DPIA)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RTO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Recovery Time Objective — tempo máximo de recuperação aceitável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RPO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Recovery Point Objective — perda máxima de dados aceitável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MTTD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Mean Time To Detect — tempo médio de deteção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MTTR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Mean Time To Respond/Recover — tempo médio de resposta ou recuperação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IoC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Indicator of Compromise — indicador de compromisso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TLPT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Threat-Led Penetration Testing — teste de penetração baseado em ameaças (DORA Art. 26.º)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TTP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Tactics, Techniques and Procedures — táticas, técnicas e procedimentos (MITRE ATT&amp;CK)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CVE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Common Vulnerabilities and Exposures — base de dados pública de vulnerabilidades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CVSS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Common Vulnerability Scoring System — sistema de pontuação de vulnerabilidades (0-10)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RGPD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Regulamento Geral sobre a Proteção de Dados (UE 2016/679)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DORA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Digital Operational Resilience Act — Regulamento (UE) 2022/2554 para o setor financeiro</w:t>
            </w:r>
          </w:p>
        </w:tc>
      </w:tr>
    </w:tbl>
    <w:p>
      <w:pPr>
        <w:pStyle w:val="Heading1"/>
      </w:pPr>
      <w:r>
        <w:rPr>
          <w:b/>
          <w:color w:val="1E3A8A"/>
          <w:sz w:val="28"/>
        </w:rPr>
        <w:t>12. Referências a outros templates NIS2</w:t>
      </w:r>
    </w:p>
    <w:p>
      <w:r>
        <w:rPr>
          <w:color w:val="374151"/>
          <w:sz w:val="22"/>
        </w:rPr>
        <w:t>Este template integra-se com o seguinte conjunto de políticas e procedimentos NIS2 disponibilizados em nis2-portugal.com/pages/templates.html: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Política de segurança da informação — documento de cúpula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Plano de resposta a incidentes — procedimento operacional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Matriz de riscos NIS2 — avaliação de riscos Art. 21.º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Plano de continuidade de negócio — BIA + DRP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Política de controlo de acessos — gestão IAM/PAM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Checklist de conformidade Art. 21.º — autoavaliação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Questionário de due diligence de fornecedores — cadeia de abastecimento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Programa de formação e sensibilização — Art. 20.º DL 125/2025</w:t>
      </w:r>
    </w:p>
    <w:p>
      <w:r>
        <w:rPr>
          <w:i/>
          <w:color w:val="374151"/>
          <w:sz w:val="20"/>
        </w:rPr>
        <w:t>Todos os templates referidos estão disponíveis para download gratuito em https://nis2-portugal.com/pages/templates.html. A utilização conjunta garante cobertura completa dos requisitos do Art. 21.º do DL 125/2025.</w:t>
      </w:r>
    </w:p>
    <w:sectPr>
      <w:headerReference w:type="default" r:id="rId6"/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e3a8a" w:sz="6" w:space="1"/>
      </w:pBdr>
      <w:jc w:val="center"/>
    </w:pPr>
    <w:r>
      <w:rPr>
        <w:color w:val="9ca3af"/>
        <w:sz w:val="18"/>
        <w:szCs w:val="18"/>
        <w:rFonts w:ascii="Calibri" w:cs="Calibri" w:eastAsia="Calibri" w:hAnsi="Calibri"/>
      </w:rPr>
      <w:t xml:space="preserve">Confidencial  |  Página </w:t>
    </w:r>
    <w:r>
      <w:rPr>
        <w:color w:val="9ca3af"/>
        <w:sz w:val="18"/>
        <w:szCs w:val="18"/>
        <w:rFonts w:ascii="Calibri" w:cs="Calibri" w:eastAsia="Calibri" w:hAnsi="Calibri"/>
      </w:rPr>
      <w:fldChar w:fldCharType="begin"/>
      <w:instrText xml:space="preserve">PAGE</w:instrText>
      <w:fldChar w:fldCharType="separate"/>
      <w:fldChar w:fldCharType="end"/>
    </w:r>
    <w:r>
      <w:rPr>
        <w:color w:val="9ca3af"/>
        <w:sz w:val="18"/>
        <w:szCs w:val="18"/>
        <w:rFonts w:ascii="Calibri" w:cs="Calibri" w:eastAsia="Calibri" w:hAnsi="Calibri"/>
      </w:rPr>
      <w:t xml:space="preserve"> de </w:t>
    </w:r>
    <w:r>
      <w:rPr>
        <w:color w:val="9ca3af"/>
        <w:sz w:val="18"/>
        <w:szCs w:val="18"/>
        <w:rFonts w:ascii="Calibri" w:cs="Calibri" w:eastAsia="Calibri" w:hAnsi="Calibri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e3a8a" w:sz="6" w:space="1"/>
      </w:pBdr>
      <w:jc w:val="right"/>
    </w:pPr>
    <w:r>
      <w:rPr>
        <w:color w:val="9ca3af"/>
        <w:sz w:val="18"/>
        <w:szCs w:val="18"/>
        <w:rFonts w:ascii="Calibri" w:cs="Calibri" w:eastAsia="Calibri" w:hAnsi="Calibri"/>
      </w:rPr>
      <w:t xml:space="preserve">Relatório intercalar de incidente — Art. 44.º n.os 3 e 4 — DL 125/2025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NIS2 Portugal — nis2-portugal.com</dc:creator>
  <cp:lastModifiedBy>NIS2 Portugal</cp:lastModifiedBy>
  <cp:revision>1</cp:revision>
  <dcterms:created xsi:type="dcterms:W3CDTF">2026-09-14T22:08:48.103Z</dcterms:created>
  <dcterms:modified xsi:type="dcterms:W3CDTF">2026-09-14T22:08:48.103Z</dcterms:modified>
  <dc:title>Relatorio intercalar incidente</dc:title>
  <dc:subject>Template NIS2 — conformidade DL 125/2025</dc:subject>
  <cp:keywords>NIS2, DL 125/2025, cibersegurança, conformidade, Portugal</cp:keywords>
  <cp:category>Template NIS2</cp:category>
  <dc:description>Template profissional gratuito disponibilizado em nis2-portugal.com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