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pPr>
    </w:p>
    <w:p>
      <w:pPr>
        <w:spacing w:after="600"/>
        <w:jc w:val="center"/>
      </w:pPr>
      <w:r>
        <w:rPr>
          <w:i/>
          <w:iCs/>
          <w:color w:val="9ca3af"/>
          <w:sz w:val="22"/>
          <w:szCs w:val="22"/>
          <w:rFonts w:ascii="Calibri" w:cs="Calibri" w:eastAsia="Calibri" w:hAnsi="Calibri"/>
        </w:rPr>
        <w:t xml:space="preserve">[Nome da organização]</w:t>
      </w:r>
    </w:p>
    <w:p>
      <w:pPr>
        <w:spacing w:after="300"/>
        <w:jc w:val="center"/>
      </w:pPr>
      <w:r>
        <w:rPr>
          <w:b/>
          <w:bCs/>
          <w:color w:val="1e3a8a"/>
          <w:sz w:val="28"/>
          <w:szCs w:val="28"/>
          <w:rFonts w:ascii="Calibri" w:cs="Calibri" w:eastAsia="Calibri" w:hAnsi="Calibri"/>
        </w:rPr>
        <w:t xml:space="preserve">Requerimento de dispensa de aplicação de coima</w:t>
      </w:r>
    </w:p>
    <w:p>
      <w:pPr>
        <w:spacing w:after="1200"/>
        <w:jc w:val="center"/>
      </w:pPr>
      <w:r>
        <w:rPr>
          <w:color w:val="374151"/>
          <w:sz w:val="22"/>
          <w:szCs w:val="22"/>
          <w:rFonts w:ascii="Calibri" w:cs="Calibri" w:eastAsia="Calibri" w:hAnsi="Calibri"/>
        </w:rPr>
        <w:t xml:space="preserve">Pedido fundamentado ao abrigo do Art. 65.º do DL 125/2025</w:t>
      </w:r>
    </w:p>
    <w:p>
      <w:pPr>
        <w:spacing w:after="160"/>
        <w:jc w:val="center"/>
      </w:pPr>
      <w:r>
        <w:rPr>
          <w:b/>
          <w:bCs/>
          <w:color w:val="374151"/>
          <w:sz w:val="22"/>
          <w:szCs w:val="22"/>
          <w:rFonts w:ascii="Calibri" w:cs="Calibri" w:eastAsia="Calibri" w:hAnsi="Calibri"/>
        </w:rPr>
        <w:t xml:space="preserve">Versão: </w:t>
      </w:r>
      <w:r>
        <w:rPr>
          <w:color w:val="374151"/>
          <w:sz w:val="22"/>
          <w:szCs w:val="22"/>
          <w:rFonts w:ascii="Calibri" w:cs="Calibri" w:eastAsia="Calibri" w:hAnsi="Calibri"/>
        </w:rPr>
        <w:t xml:space="preserve">1.0</w:t>
      </w:r>
    </w:p>
    <w:p>
      <w:pPr>
        <w:spacing w:after="160"/>
        <w:jc w:val="center"/>
      </w:pPr>
      <w:r>
        <w:rPr>
          <w:b/>
          <w:bCs/>
          <w:color w:val="374151"/>
          <w:sz w:val="22"/>
          <w:szCs w:val="22"/>
          <w:rFonts w:ascii="Calibri" w:cs="Calibri" w:eastAsia="Calibri" w:hAnsi="Calibri"/>
        </w:rPr>
        <w:t xml:space="preserve">Data: </w:t>
      </w:r>
      <w:r>
        <w:rPr>
          <w:color w:val="374151"/>
          <w:sz w:val="22"/>
          <w:szCs w:val="22"/>
          <w:rFonts w:ascii="Calibri" w:cs="Calibri" w:eastAsia="Calibri" w:hAnsi="Calibri"/>
        </w:rPr>
        <w:t xml:space="preserve">14/09/2026</w:t>
      </w:r>
    </w:p>
    <w:p>
      <w:pPr>
        <w:spacing w:after="400"/>
        <w:jc w:val="center"/>
      </w:pPr>
      <w:r>
        <w:rPr>
          <w:b/>
          <w:bCs/>
          <w:color w:val="374151"/>
          <w:sz w:val="22"/>
          <w:szCs w:val="22"/>
          <w:rFonts w:ascii="Calibri" w:cs="Calibri" w:eastAsia="Calibri" w:hAnsi="Calibri"/>
        </w:rPr>
        <w:t xml:space="preserve">Classificação: </w:t>
      </w:r>
      <w:r>
        <w:rPr>
          <w:b/>
          <w:bCs/>
          <w:color w:val="dc2626"/>
          <w:sz w:val="22"/>
          <w:szCs w:val="22"/>
          <w:rFonts w:ascii="Calibri" w:cs="Calibri" w:eastAsia="Calibri" w:hAnsi="Calibri"/>
        </w:rPr>
        <w:t xml:space="preserve">Confidencial</w:t>
      </w:r>
    </w:p>
    <w:p>
      <w:r>
        <w:br w:type="page"/>
      </w:r>
    </w:p>
    <w:p>
      <w:pPr>
        <w:pStyle w:val="Heading2"/>
        <w:spacing w:before="320" w:after="160"/>
      </w:pPr>
      <w:r>
        <w:rPr>
          <w:b/>
          <w:bCs/>
          <w:color w:val="1e3a8a"/>
          <w:sz w:val="28"/>
          <w:szCs w:val="28"/>
          <w:rFonts w:ascii="Calibri" w:cs="Calibri" w:eastAsia="Calibri" w:hAnsi="Calibri"/>
        </w:rPr>
        <w:t xml:space="preserve">Controlo de versões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shd w:color="1e3a8a" w:val="solid"/>
            <w:vAlign w:val="center"/>
          </w:tcPr>
          <w:p>
            <w:r>
              <w:rPr>
                <w:b/>
                <w:bCs/>
                <w:color w:val="ffffff"/>
                <w:sz w:val="22"/>
                <w:szCs w:val="22"/>
                <w:rFonts w:ascii="Calibri" w:cs="Calibri" w:eastAsia="Calibri" w:hAnsi="Calibri"/>
              </w:rPr>
              <w:t xml:space="preserve">Versão</w:t>
            </w:r>
          </w:p>
        </w:tc>
        <w:tc>
          <w:tcPr>
            <w:shd w:color="1e3a8a" w:val="solid"/>
            <w:vAlign w:val="center"/>
          </w:tcPr>
          <w:p>
            <w:r>
              <w:rPr>
                <w:b/>
                <w:bCs/>
                <w:color w:val="ffffff"/>
                <w:sz w:val="22"/>
                <w:szCs w:val="22"/>
                <w:rFonts w:ascii="Calibri" w:cs="Calibri" w:eastAsia="Calibri" w:hAnsi="Calibri"/>
              </w:rPr>
              <w:t xml:space="preserve">Data</w:t>
            </w:r>
          </w:p>
        </w:tc>
        <w:tc>
          <w:tcPr>
            <w:shd w:color="1e3a8a" w:val="solid"/>
            <w:vAlign w:val="center"/>
          </w:tcPr>
          <w:p>
            <w:r>
              <w:rPr>
                <w:b/>
                <w:bCs/>
                <w:color w:val="ffffff"/>
                <w:sz w:val="22"/>
                <w:szCs w:val="22"/>
                <w:rFonts w:ascii="Calibri" w:cs="Calibri" w:eastAsia="Calibri" w:hAnsi="Calibri"/>
              </w:rPr>
              <w:t xml:space="preserve">Autor</w:t>
            </w:r>
          </w:p>
        </w:tc>
        <w:tc>
          <w:tcPr>
            <w:shd w:color="1e3a8a" w:val="solid"/>
            <w:vAlign w:val="center"/>
          </w:tcPr>
          <w:p>
            <w:r>
              <w:rPr>
                <w:b/>
                <w:bCs/>
                <w:color w:val="ffffff"/>
                <w:sz w:val="22"/>
                <w:szCs w:val="22"/>
                <w:rFonts w:ascii="Calibri" w:cs="Calibri" w:eastAsia="Calibri" w:hAnsi="Calibri"/>
              </w:rPr>
              <w:t xml:space="preserve">Alterações</w:t>
            </w:r>
          </w:p>
        </w:tc>
        <w:tc>
          <w:tcPr>
            <w:shd w:color="1e3a8a" w:val="solid"/>
            <w:vAlign w:val="center"/>
          </w:tcPr>
          <w:p>
            <w:r>
              <w:rPr>
                <w:b/>
                <w:bCs/>
                <w:color w:val="ffffff"/>
                <w:sz w:val="22"/>
                <w:szCs w:val="22"/>
                <w:rFonts w:ascii="Calibri" w:cs="Calibri" w:eastAsia="Calibri" w:hAnsi="Calibri"/>
              </w:rPr>
              <w:t xml:space="preserve">Aprovado por</w:t>
            </w:r>
          </w:p>
        </w:tc>
      </w:tr>
      <w:tr>
        <w:tc>
          <w:p>
            <w:r>
              <w:rPr>
                <w:color w:val="374151"/>
                <w:sz w:val="22"/>
                <w:szCs w:val="22"/>
                <w:rFonts w:ascii="Calibri" w:cs="Calibri" w:eastAsia="Calibri" w:hAnsi="Calibri"/>
              </w:rPr>
              <w:t xml:space="preserve">1.0</w:t>
            </w:r>
          </w:p>
        </w:tc>
        <w:tc>
          <w:p>
            <w:r>
              <w:rPr>
                <w:color w:val="374151"/>
                <w:sz w:val="22"/>
                <w:szCs w:val="22"/>
                <w:rFonts w:ascii="Calibri" w:cs="Calibri" w:eastAsia="Calibri" w:hAnsi="Calibri"/>
              </w:rPr>
            </w:r>
          </w:p>
        </w:tc>
        <w:tc>
          <w:p>
            <w:r>
              <w:rPr>
                <w:color w:val="374151"/>
                <w:sz w:val="22"/>
                <w:szCs w:val="22"/>
                <w:rFonts w:ascii="Calibri" w:cs="Calibri" w:eastAsia="Calibri" w:hAnsi="Calibri"/>
              </w:rPr>
              <w:t xml:space="preserve">[Autor]</w:t>
            </w:r>
          </w:p>
        </w:tc>
        <w:tc>
          <w:p>
            <w:r>
              <w:rPr>
                <w:color w:val="374151"/>
                <w:sz w:val="22"/>
                <w:szCs w:val="22"/>
                <w:rFonts w:ascii="Calibri" w:cs="Calibri" w:eastAsia="Calibri" w:hAnsi="Calibri"/>
              </w:rPr>
              <w:t xml:space="preserve">Versão inicial</w:t>
            </w:r>
          </w:p>
        </w:tc>
        <w:tc>
          <w:p>
            <w:r>
              <w:rPr>
                <w:color w:val="374151"/>
                <w:sz w:val="22"/>
                <w:szCs w:val="22"/>
                <w:rFonts w:ascii="Calibri" w:cs="Calibri" w:eastAsia="Calibri" w:hAnsi="Calibri"/>
              </w:rPr>
              <w:t xml:space="preserve">[Aprovador]</w:t>
            </w:r>
          </w:p>
        </w:tc>
      </w:tr>
    </w:tbl>
    <w:p>
      <w:pPr>
        <w:pStyle w:val="Heading2"/>
        <w:spacing w:before="320" w:after="160"/>
      </w:pPr>
      <w:r>
        <w:rPr>
          <w:b/>
          <w:bCs/>
          <w:color w:val="1e3a8a"/>
          <w:sz w:val="28"/>
          <w:szCs w:val="28"/>
          <w:rFonts w:ascii="Calibri" w:cs="Calibri" w:eastAsia="Calibri" w:hAnsi="Calibri"/>
        </w:rPr>
        <w:t xml:space="preserve">Aviso importante sobre o prazo</w:t>
      </w:r>
    </w:p>
    <w:p>
      <w:pPr>
        <w:pBdr>
          <w:left w:val="single" w:color="f97316" w:sz="24" w:space="8"/>
        </w:pBdr>
        <w:shd w:color="FEF3C7" w:val="solid"/>
        <w:spacing w:before="160" w:after="160"/>
        <w:ind w:left="360" w:right="360"/>
      </w:pPr>
      <w:r>
        <w:rPr>
          <w:b/>
          <w:bCs/>
          <w:color w:val="374151"/>
          <w:sz w:val="22"/>
          <w:szCs w:val="22"/>
          <w:rFonts w:ascii="Calibri" w:cs="Calibri" w:eastAsia="Calibri" w:hAnsi="Calibri"/>
        </w:rPr>
        <w:t xml:space="preserve">O pedido de dispensa previsto no Art. 65.º do DL 125/2025 só pode ser invocado durante 12 meses a contar da entrada em vigor do decreto-lei (3 de abril de 2026), ou seja, até 3 de abril de 2027. Fora deste prazo, este fundamento de dispensa deixa de estar disponível.</w:t>
      </w:r>
    </w:p>
    <w:p>
      <w:r>
        <w:br w:type="page"/>
      </w:r>
    </w:p>
    <w:p>
      <w:pPr>
        <w:pStyle w:val="Heading1"/>
        <w:spacing w:before="400" w:after="200"/>
      </w:pPr>
      <w:r>
        <w:rPr>
          <w:b/>
          <w:bCs/>
          <w:color w:val="1e3a8a"/>
          <w:sz w:val="32"/>
          <w:szCs w:val="32"/>
          <w:rFonts w:ascii="Calibri" w:cs="Calibri" w:eastAsia="Calibri" w:hAnsi="Calibri"/>
        </w:rPr>
        <w:t xml:space="preserve">Como usar este documento</w:t>
      </w:r>
    </w:p>
    <w:p>
      <w:pPr>
        <w:spacing w:after="160"/>
      </w:pPr>
      <w:r>
        <w:rPr>
          <w:color w:val="374151"/>
          <w:sz w:val="22"/>
          <w:szCs w:val="22"/>
          <w:rFonts w:ascii="Calibri" w:cs="Calibri" w:eastAsia="Calibri" w:hAnsi="Calibri"/>
        </w:rPr>
        <w:t xml:space="preserve">Este template apoia a elaboração de um requerimento de dispensa de aplicação de coima ao abrigo do Art. 65.º do DL 125/2025. O pedido só é aplicável às coimas referidas no Art. 61.º n.º 2 (contraordenações muito graves) e no Art. 62.º n.º 2 (contraordenações graves), e tem de assentar num único fundamento: a inexistência, à data dos factos, de um procedimento interno de adaptação da entidade ao regime jurídico da cibersegurança.</w:t>
      </w:r>
    </w:p>
    <w:p>
      <w:pPr>
        <w:pStyle w:val="ListParagraph"/>
        <w:numPr>
          <w:ilvl w:val="0"/>
          <w:numId w:val="1"/>
        </w:numPr>
        <w:spacing w:after="80"/>
      </w:pPr>
      <w:r>
        <w:rPr>
          <w:color w:val="374151"/>
          <w:sz w:val="22"/>
          <w:szCs w:val="22"/>
          <w:rFonts w:ascii="Calibri" w:cs="Calibri" w:eastAsia="Calibri" w:hAnsi="Calibri"/>
        </w:rPr>
        <w:t xml:space="preserve">Não é uma isenção automática nem genérica — exige um pedido devidamente fundamentado apresentado pela entidade.</w:t>
      </w:r>
    </w:p>
    <w:p>
      <w:pPr>
        <w:pStyle w:val="ListParagraph"/>
        <w:numPr>
          <w:ilvl w:val="0"/>
          <w:numId w:val="1"/>
        </w:numPr>
        <w:spacing w:after="80"/>
      </w:pPr>
      <w:r>
        <w:rPr>
          <w:color w:val="374151"/>
          <w:sz w:val="22"/>
          <w:szCs w:val="22"/>
          <w:rFonts w:ascii="Calibri" w:cs="Calibri" w:eastAsia="Calibri" w:hAnsi="Calibri"/>
        </w:rPr>
        <w:t xml:space="preserve">Não substitui a advertência prévia prevista no Art. 66.º n.º 5, que é uma garantia processual distinta, automática fora dos casos de dolo.</w:t>
      </w:r>
    </w:p>
    <w:p>
      <w:pPr>
        <w:pStyle w:val="ListParagraph"/>
        <w:numPr>
          <w:ilvl w:val="0"/>
          <w:numId w:val="1"/>
        </w:numPr>
        <w:spacing w:after="80"/>
      </w:pPr>
      <w:r>
        <w:rPr>
          <w:color w:val="374151"/>
          <w:sz w:val="22"/>
          <w:szCs w:val="22"/>
          <w:rFonts w:ascii="Calibri" w:cs="Calibri" w:eastAsia="Calibri" w:hAnsi="Calibri"/>
        </w:rPr>
        <w:t xml:space="preserve">Confirme junto do CNCS/MyCiber se existe um formulário próprio para este pedido — a lei não impõe um modelo, mas a autoridade pode exigir elementos adicionais.</w:t>
      </w:r>
    </w:p>
    <w:p>
      <w:pPr>
        <w:pStyle w:val="ListParagraph"/>
        <w:numPr>
          <w:ilvl w:val="0"/>
          <w:numId w:val="1"/>
        </w:numPr>
        <w:spacing w:after="80"/>
      </w:pPr>
      <w:r>
        <w:rPr>
          <w:color w:val="374151"/>
          <w:sz w:val="22"/>
          <w:szCs w:val="22"/>
          <w:rFonts w:ascii="Calibri" w:cs="Calibri" w:eastAsia="Calibri" w:hAnsi="Calibri"/>
        </w:rPr>
        <w:t xml:space="preserve">Este template não substitui o aconselhamento jurídico. Recomenda-se a revisão por advogado antes da submissão, sobretudo se já existir processo de contraordenação instaurado.</w:t>
      </w:r>
    </w:p>
    <w:p>
      <w:pPr>
        <w:pStyle w:val="Heading1"/>
        <w:spacing w:before="400" w:after="200"/>
      </w:pPr>
      <w:r>
        <w:rPr>
          <w:b/>
          <w:bCs/>
          <w:color w:val="1e3a8a"/>
          <w:sz w:val="32"/>
          <w:szCs w:val="32"/>
          <w:rFonts w:ascii="Calibri" w:cs="Calibri" w:eastAsia="Calibri" w:hAnsi="Calibri"/>
        </w:rPr>
        <w:t xml:space="preserve">Enquadramento legal</w:t>
      </w:r>
    </w:p>
    <w:p>
      <w:pPr>
        <w:shd w:color="dbeafe" w:val="solid"/>
        <w:spacing w:before="160" w:after="160"/>
        <w:ind w:left="360" w:right="360"/>
      </w:pPr>
      <w:r>
        <w:rPr>
          <w:i/>
          <w:iCs/>
          <w:color w:val="1e3a8a"/>
          <w:sz w:val="22"/>
          <w:szCs w:val="22"/>
          <w:rFonts w:ascii="Calibri" w:cs="Calibri" w:eastAsia="Calibri" w:hAnsi="Calibri"/>
        </w:rPr>
        <w:t xml:space="preserve">Base legal principal: Art. 65.º do DL 125/2025 ("Dispensa de aplicação das coimas"); complementarmente, Art. 66.º ("Determinação da medida da coima"), em especial o n.º 5; Art. 15.º (autoridades de cibersegurança competentes).</w:t>
      </w:r>
    </w:p>
    <w:p>
      <w:pPr>
        <w:spacing w:after="160"/>
      </w:pPr>
      <w:r>
        <w:rPr>
          <w:color w:val="374151"/>
          <w:sz w:val="22"/>
          <w:szCs w:val="22"/>
          <w:rFonts w:ascii="Calibri" w:cs="Calibri" w:eastAsia="Calibri" w:hAnsi="Calibri"/>
        </w:rPr>
        <w:t xml:space="preserve">Art. 65.º do DL 125/2025, citado integralmente: "Todas as entidades essenciais, importantes e públicas relevantes podem, mediante pedido devidamente fundamentado, solicitar à autoridade de cibersegurança competente a dispensa da aplicação de coimas referidas no n.º 2 do artigo 61.º e no n.º 2 do artigo 62.º, com fundamento na inexistência de um procedimento interno de adaptação dessas entidades ao novo regime jurídico, durante 12 meses a contar da entrada em vigor do presente decreto-lei."</w:t>
      </w:r>
    </w:p>
    <w:p>
      <w:pPr>
        <w:spacing w:after="160"/>
      </w:pPr>
      <w:r>
        <w:rPr>
          <w:color w:val="374151"/>
          <w:sz w:val="22"/>
          <w:szCs w:val="22"/>
          <w:rFonts w:ascii="Calibri" w:cs="Calibri" w:eastAsia="Calibri" w:hAnsi="Calibri"/>
        </w:rPr>
        <w:t xml:space="preserve">Art. 66.º n.º 5 do DL 125/2025, citado integralmente: "Exceto em caso de dolo, a instauração de processo de contraordenação depende de prévia advertência do agente, por parte da autoridade de cibersegurança competente, para cumprimento da obrigação omitida ou reintegração da proibição violada em prazo razoável."</w:t>
      </w:r>
    </w:p>
    <w:p>
      <w:pPr>
        <w:spacing w:after="160"/>
      </w:pPr>
      <w:r>
        <w:rPr>
          <w:color w:val="374151"/>
          <w:sz w:val="22"/>
          <w:szCs w:val="22"/>
          <w:rFonts w:ascii="Calibri" w:cs="Calibri" w:eastAsia="Calibri" w:hAnsi="Calibri"/>
        </w:rPr>
        <w:t xml:space="preserve">A dispensa do Art. 65.º e a advertência prévia do Art. 66.º n.º 5 são garantias distintas: a primeira exige iniciativa da entidade através de pedido fundamentado; a segunda opera, fora de dolo, independentemente de pedido, como condição prévia à instauração do processo de contraordenação. Este requerimento não dispensa a entidade de invocar também a advertência prévia se aplicável ao caso.</w:t>
      </w:r>
    </w:p>
    <w:p>
      <w:r>
        <w:br w:type="page"/>
      </w:r>
    </w:p>
    <w:p>
      <w:pPr>
        <w:pStyle w:val="Heading1"/>
        <w:spacing w:before="400" w:after="200"/>
      </w:pPr>
      <w:r>
        <w:rPr>
          <w:b/>
          <w:bCs/>
          <w:color w:val="1e3a8a"/>
          <w:sz w:val="32"/>
          <w:szCs w:val="32"/>
          <w:rFonts w:ascii="Calibri" w:cs="Calibri" w:eastAsia="Calibri" w:hAnsi="Calibri"/>
        </w:rPr>
        <w:t xml:space="preserve">Requerimento</w:t>
      </w:r>
    </w:p>
    <w:p>
      <w:pPr>
        <w:spacing w:after="160"/>
      </w:pPr>
      <w:r>
        <w:rPr>
          <w:color w:val="374151"/>
          <w:sz w:val="22"/>
          <w:szCs w:val="22"/>
          <w:rFonts w:ascii="Calibri" w:cs="Calibri" w:eastAsia="Calibri" w:hAnsi="Calibri"/>
        </w:rPr>
        <w:t xml:space="preserve">Exmo(a). Senhor(a) [designação da autoridade de cibersegurança competente]</w:t>
      </w:r>
    </w:p>
    <w:p>
      <w:pPr>
        <w:shd w:color="dbeafe" w:val="solid"/>
        <w:spacing w:before="160" w:after="160"/>
        <w:ind w:left="360" w:right="360"/>
      </w:pPr>
      <w:r>
        <w:rPr>
          <w:i/>
          <w:iCs/>
          <w:color w:val="1e3a8a"/>
          <w:sz w:val="22"/>
          <w:szCs w:val="22"/>
          <w:rFonts w:ascii="Calibri" w:cs="Calibri" w:eastAsia="Calibri" w:hAnsi="Calibri"/>
        </w:rPr>
        <w:t xml:space="preserve">A autoridade de cibersegurança competente para este pedido é o CNCS, salvo se a entidade estiver sujeita a autoridade sectorial ou especial nos termos do Art. 15.º n.º 2 do DL 125/2025 (GNS para serviços de confiança; ANACOM para comunicações eletrónicas e serviços postais; ASF, CMVM ou Banco de Portugal para resiliência operacional digital do setor financeiro). [Confirmar e indicar a autoridade aplicável ao caso concreto.]</w:t>
      </w:r>
    </w:p>
    <w:p>
      <w:pPr>
        <w:pStyle w:val="Heading2"/>
        <w:spacing w:before="320" w:after="160"/>
      </w:pPr>
      <w:r>
        <w:rPr>
          <w:b/>
          <w:bCs/>
          <w:color w:val="1e3a8a"/>
          <w:sz w:val="28"/>
          <w:szCs w:val="28"/>
          <w:rFonts w:ascii="Calibri" w:cs="Calibri" w:eastAsia="Calibri" w:hAnsi="Calibri"/>
        </w:rPr>
        <w:t xml:space="preserve">A. Identificação do requerente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color w:val="374151"/>
                <w:sz w:val="22"/>
                <w:szCs w:val="22"/>
                <w:rFonts w:ascii="Calibri" w:cs="Calibri" w:eastAsia="Calibri" w:hAnsi="Calibri"/>
              </w:rPr>
              <w:t xml:space="preserve">Nome/Denominação social</w:t>
            </w:r>
          </w:p>
        </w:tc>
        <w:tc>
          <w:tcPr>
            <w:vAlign w:val="center"/>
          </w:tcPr>
          <w:p>
            <w:r>
              <w:rPr>
                <w:color w:val="374151"/>
                <w:sz w:val="22"/>
                <w:szCs w:val="22"/>
                <w:rFonts w:ascii="Calibri" w:cs="Calibri" w:eastAsia="Calibri" w:hAnsi="Calibri"/>
              </w:rPr>
              <w:t xml:space="preserve">[Nome da organização]</w:t>
            </w:r>
          </w:p>
        </w:tc>
      </w:tr>
      <w:tr>
        <w:tc>
          <w:tcPr>
            <w:shd w:color="f3f4f6" w:val="solid"/>
            <w:vAlign w:val="center"/>
          </w:tcPr>
          <w:p>
            <w:r>
              <w:rPr>
                <w:color w:val="374151"/>
                <w:sz w:val="22"/>
                <w:szCs w:val="22"/>
                <w:rFonts w:ascii="Calibri" w:cs="Calibri" w:eastAsia="Calibri" w:hAnsi="Calibri"/>
              </w:rPr>
              <w:t xml:space="preserve">NIF/NIPC</w:t>
            </w:r>
          </w:p>
        </w:tc>
        <w:tc>
          <w:tcPr>
            <w:vAlign w:val="center"/>
          </w:tcPr>
          <w:p>
            <w:r>
              <w:rPr>
                <w:color w:val="374151"/>
                <w:sz w:val="22"/>
                <w:szCs w:val="22"/>
                <w:rFonts w:ascii="Calibri" w:cs="Calibri" w:eastAsia="Calibri" w:hAnsi="Calibri"/>
              </w:rPr>
              <w:t xml:space="preserve">[Número]</w:t>
            </w:r>
          </w:p>
        </w:tc>
      </w:tr>
      <w:tr>
        <w:tc>
          <w:tcPr>
            <w:shd w:color="f3f4f6" w:val="solid"/>
            <w:vAlign w:val="center"/>
          </w:tcPr>
          <w:p>
            <w:r>
              <w:rPr>
                <w:color w:val="374151"/>
                <w:sz w:val="22"/>
                <w:szCs w:val="22"/>
                <w:rFonts w:ascii="Calibri" w:cs="Calibri" w:eastAsia="Calibri" w:hAnsi="Calibri"/>
              </w:rPr>
              <w:t xml:space="preserve">Sede/domicílio</w:t>
            </w:r>
          </w:p>
        </w:tc>
        <w:tc>
          <w:tcPr>
            <w:vAlign w:val="center"/>
          </w:tcPr>
          <w:p>
            <w:r>
              <w:rPr>
                <w:color w:val="374151"/>
                <w:sz w:val="22"/>
                <w:szCs w:val="22"/>
                <w:rFonts w:ascii="Calibri" w:cs="Calibri" w:eastAsia="Calibri" w:hAnsi="Calibri"/>
              </w:rPr>
              <w:t xml:space="preserve">[Morada]</w:t>
            </w:r>
          </w:p>
        </w:tc>
      </w:tr>
      <w:tr>
        <w:tc>
          <w:tcPr>
            <w:shd w:color="f3f4f6" w:val="solid"/>
            <w:vAlign w:val="center"/>
          </w:tcPr>
          <w:p>
            <w:r>
              <w:rPr>
                <w:color w:val="374151"/>
                <w:sz w:val="22"/>
                <w:szCs w:val="22"/>
                <w:rFonts w:ascii="Calibri" w:cs="Calibri" w:eastAsia="Calibri" w:hAnsi="Calibri"/>
              </w:rPr>
              <w:t xml:space="preserve">Qualificação</w:t>
            </w:r>
          </w:p>
        </w:tc>
        <w:tc>
          <w:tcPr>
            <w:vAlign w:val="center"/>
          </w:tcPr>
          <w:p>
            <w:r>
              <w:rPr>
                <w:color w:val="374151"/>
                <w:sz w:val="22"/>
                <w:szCs w:val="22"/>
                <w:rFonts w:ascii="Calibri" w:cs="Calibri" w:eastAsia="Calibri" w:hAnsi="Calibri"/>
              </w:rPr>
              <w:t xml:space="preserve">[Entidade essencial/Entidade importante/Entidade pública relevante]</w:t>
            </w:r>
          </w:p>
        </w:tc>
      </w:tr>
      <w:tr>
        <w:tc>
          <w:tcPr>
            <w:shd w:color="f3f4f6" w:val="solid"/>
            <w:vAlign w:val="center"/>
          </w:tcPr>
          <w:p>
            <w:r>
              <w:rPr>
                <w:color w:val="374151"/>
                <w:sz w:val="22"/>
                <w:szCs w:val="22"/>
                <w:rFonts w:ascii="Calibri" w:cs="Calibri" w:eastAsia="Calibri" w:hAnsi="Calibri"/>
              </w:rPr>
              <w:t xml:space="preserve">Representante legal</w:t>
            </w:r>
          </w:p>
        </w:tc>
        <w:tc>
          <w:tcPr>
            <w:vAlign w:val="center"/>
          </w:tcPr>
          <w:p>
            <w:r>
              <w:rPr>
                <w:color w:val="374151"/>
                <w:sz w:val="22"/>
                <w:szCs w:val="22"/>
                <w:rFonts w:ascii="Calibri" w:cs="Calibri" w:eastAsia="Calibri" w:hAnsi="Calibri"/>
              </w:rPr>
              <w:t xml:space="preserve">[Nome e qualidade]</w:t>
            </w:r>
          </w:p>
        </w:tc>
      </w:tr>
      <w:tr>
        <w:tc>
          <w:tcPr>
            <w:shd w:color="f3f4f6" w:val="solid"/>
            <w:vAlign w:val="center"/>
          </w:tcPr>
          <w:p>
            <w:r>
              <w:rPr>
                <w:color w:val="374151"/>
                <w:sz w:val="22"/>
                <w:szCs w:val="22"/>
                <w:rFonts w:ascii="Calibri" w:cs="Calibri" w:eastAsia="Calibri" w:hAnsi="Calibri"/>
              </w:rPr>
              <w:t xml:space="preserve">Contacto para efeitos de notificação</w:t>
            </w:r>
          </w:p>
        </w:tc>
        <w:tc>
          <w:tcPr>
            <w:vAlign w:val="center"/>
          </w:tcPr>
          <w:p>
            <w:r>
              <w:rPr>
                <w:color w:val="374151"/>
                <w:sz w:val="22"/>
                <w:szCs w:val="22"/>
                <w:rFonts w:ascii="Calibri" w:cs="Calibri" w:eastAsia="Calibri" w:hAnsi="Calibri"/>
              </w:rPr>
              <w:t xml:space="preserve">[Email/telefone]</w:t>
            </w:r>
          </w:p>
        </w:tc>
      </w:tr>
    </w:tbl>
    <w:p>
      <w:pPr>
        <w:pStyle w:val="Heading2"/>
        <w:spacing w:before="320" w:after="160"/>
      </w:pPr>
      <w:r>
        <w:rPr>
          <w:b/>
          <w:bCs/>
          <w:color w:val="1e3a8a"/>
          <w:sz w:val="28"/>
          <w:szCs w:val="28"/>
          <w:rFonts w:ascii="Calibri" w:cs="Calibri" w:eastAsia="Calibri" w:hAnsi="Calibri"/>
        </w:rPr>
        <w:t xml:space="preserve">B. Do procedimento ou infração em causa</w:t>
      </w:r>
    </w:p>
    <w:p>
      <w:pPr>
        <w:spacing w:after="160"/>
      </w:pPr>
      <w:r>
        <w:rPr>
          <w:color w:val="374151"/>
          <w:sz w:val="22"/>
          <w:szCs w:val="22"/>
          <w:rFonts w:ascii="Calibri" w:cs="Calibri" w:eastAsia="Calibri" w:hAnsi="Calibri"/>
        </w:rPr>
        <w:t xml:space="preserve">[Identificar, se já existir, o processo de contraordenação ou a infração em concreto a que se refere o pedido: número de processo, data dos factos, norma alegadamente infringida, e se a coima em causa se enquadra no Art. 61.º n.º 2 ou no Art. 62.º n.º 2 do DL 125/2025.]</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color w:val="374151"/>
                <w:sz w:val="22"/>
                <w:szCs w:val="22"/>
                <w:rFonts w:ascii="Calibri" w:cs="Calibri" w:eastAsia="Calibri" w:hAnsi="Calibri"/>
              </w:rPr>
              <w:t xml:space="preserve">Número do processo de contraordenação (se instaurado)</w:t>
            </w:r>
          </w:p>
        </w:tc>
        <w:tc>
          <w:tcPr>
            <w:vAlign w:val="center"/>
          </w:tcPr>
          <w:p>
            <w:r>
              <w:rPr>
                <w:color w:val="374151"/>
                <w:sz w:val="22"/>
                <w:szCs w:val="22"/>
                <w:rFonts w:ascii="Calibri" w:cs="Calibri" w:eastAsia="Calibri" w:hAnsi="Calibri"/>
              </w:rPr>
              <w:t xml:space="preserve">[Número/Não instaurado]</w:t>
            </w:r>
          </w:p>
        </w:tc>
      </w:tr>
      <w:tr>
        <w:tc>
          <w:tcPr>
            <w:shd w:color="f3f4f6" w:val="solid"/>
            <w:vAlign w:val="center"/>
          </w:tcPr>
          <w:p>
            <w:r>
              <w:rPr>
                <w:color w:val="374151"/>
                <w:sz w:val="22"/>
                <w:szCs w:val="22"/>
                <w:rFonts w:ascii="Calibri" w:cs="Calibri" w:eastAsia="Calibri" w:hAnsi="Calibri"/>
              </w:rPr>
              <w:t xml:space="preserve">Data dos factos em causa</w:t>
            </w:r>
          </w:p>
        </w:tc>
        <w:tc>
          <w:tcPr>
            <w:vAlign w:val="center"/>
          </w:tcPr>
          <w:p>
            <w:r>
              <w:rPr>
                <w:color w:val="374151"/>
                <w:sz w:val="22"/>
                <w:szCs w:val="22"/>
                <w:rFonts w:ascii="Calibri" w:cs="Calibri" w:eastAsia="Calibri" w:hAnsi="Calibri"/>
              </w:rPr>
              <w:t xml:space="preserve">[DD/MM/AAAA]</w:t>
            </w:r>
          </w:p>
        </w:tc>
      </w:tr>
      <w:tr>
        <w:tc>
          <w:tcPr>
            <w:shd w:color="f3f4f6" w:val="solid"/>
            <w:vAlign w:val="center"/>
          </w:tcPr>
          <w:p>
            <w:r>
              <w:rPr>
                <w:color w:val="374151"/>
                <w:sz w:val="22"/>
                <w:szCs w:val="22"/>
                <w:rFonts w:ascii="Calibri" w:cs="Calibri" w:eastAsia="Calibri" w:hAnsi="Calibri"/>
              </w:rPr>
              <w:t xml:space="preserve">Norma alegadamente infringida</w:t>
            </w:r>
          </w:p>
        </w:tc>
        <w:tc>
          <w:tcPr>
            <w:vAlign w:val="center"/>
          </w:tcPr>
          <w:p>
            <w:r>
              <w:rPr>
                <w:color w:val="374151"/>
                <w:sz w:val="22"/>
                <w:szCs w:val="22"/>
                <w:rFonts w:ascii="Calibri" w:cs="Calibri" w:eastAsia="Calibri" w:hAnsi="Calibri"/>
              </w:rPr>
              <w:t xml:space="preserve">[Artigo/número/alínea]</w:t>
            </w:r>
          </w:p>
        </w:tc>
      </w:tr>
      <w:tr>
        <w:tc>
          <w:tcPr>
            <w:shd w:color="f3f4f6" w:val="solid"/>
            <w:vAlign w:val="center"/>
          </w:tcPr>
          <w:p>
            <w:r>
              <w:rPr>
                <w:color w:val="374151"/>
                <w:sz w:val="22"/>
                <w:szCs w:val="22"/>
                <w:rFonts w:ascii="Calibri" w:cs="Calibri" w:eastAsia="Calibri" w:hAnsi="Calibri"/>
              </w:rPr>
              <w:t xml:space="preserve">Enquadramento da coima</w:t>
            </w:r>
          </w:p>
        </w:tc>
        <w:tc>
          <w:tcPr>
            <w:vAlign w:val="center"/>
          </w:tcPr>
          <w:p>
            <w:r>
              <w:rPr>
                <w:color w:val="374151"/>
                <w:sz w:val="22"/>
                <w:szCs w:val="22"/>
                <w:rFonts w:ascii="Calibri" w:cs="Calibri" w:eastAsia="Calibri" w:hAnsi="Calibri"/>
              </w:rPr>
              <w:t xml:space="preserve">[Art. 61.º n.º 2/Art. 62.º n.º 2 do DL 125/2025]</w:t>
            </w:r>
          </w:p>
        </w:tc>
      </w:tr>
    </w:tbl>
    <w:p>
      <w:pPr>
        <w:pStyle w:val="Heading2"/>
        <w:spacing w:before="320" w:after="160"/>
      </w:pPr>
      <w:r>
        <w:rPr>
          <w:b/>
          <w:bCs/>
          <w:color w:val="1e3a8a"/>
          <w:sz w:val="28"/>
          <w:szCs w:val="28"/>
          <w:rFonts w:ascii="Calibri" w:cs="Calibri" w:eastAsia="Calibri" w:hAnsi="Calibri"/>
        </w:rPr>
        <w:t xml:space="preserve">C. Da inexistência de procedimento interno de adaptação à data dos factos</w:t>
      </w:r>
    </w:p>
    <w:p>
      <w:pPr>
        <w:spacing w:after="160"/>
      </w:pPr>
      <w:r>
        <w:rPr>
          <w:color w:val="374151"/>
          <w:sz w:val="22"/>
          <w:szCs w:val="22"/>
          <w:rFonts w:ascii="Calibri" w:cs="Calibri" w:eastAsia="Calibri" w:hAnsi="Calibri"/>
        </w:rPr>
        <w:t xml:space="preserve">[Descrever, de forma fundamentada e concreta, a situação da entidade à data dos factos: ausência de procedimento interno formalizado de adaptação ao regime jurídico da cibersegurança, causas dessa ausência (por exemplo, dimensão da entidade, recursos disponíveis, fase de implementação de outros projetos de conformidade), e por que motivo esta circunstância é o fundamento único e efetivo do incumprimento em causa.]</w:t>
      </w:r>
    </w:p>
    <w:p>
      <w:pPr>
        <w:pStyle w:val="Heading2"/>
        <w:spacing w:before="320" w:after="160"/>
      </w:pPr>
      <w:r>
        <w:rPr>
          <w:b/>
          <w:bCs/>
          <w:color w:val="1e3a8a"/>
          <w:sz w:val="28"/>
          <w:szCs w:val="28"/>
          <w:rFonts w:ascii="Calibri" w:cs="Calibri" w:eastAsia="Calibri" w:hAnsi="Calibri"/>
        </w:rPr>
        <w:t xml:space="preserve">D. Do plano de adequação entretanto adotado</w:t>
      </w:r>
    </w:p>
    <w:p>
      <w:pPr>
        <w:spacing w:after="160"/>
      </w:pPr>
      <w:r>
        <w:rPr>
          <w:color w:val="374151"/>
          <w:sz w:val="22"/>
          <w:szCs w:val="22"/>
          <w:rFonts w:ascii="Calibri" w:cs="Calibri" w:eastAsia="Calibri" w:hAnsi="Calibri"/>
        </w:rPr>
        <w:t xml:space="preserve">[Descrever as diligências de adaptação ao regime jurídico da cibersegurança entretanto iniciadas ou já concluídas: plano de ação, calendário, responsáveis, investimentos realizados, formação ministrada. Esta secção demonstra a boa-fé da entidade e reforça a fundamentação do pedido.]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Medida de adaptação</w:t>
            </w:r>
          </w:p>
        </w:tc>
        <w:tc>
          <w:tcPr>
            <w:tcW w:type="pct" w:w="20%"/>
            <w:shd w:color="1e3a8a" w:val="solid"/>
            <w:vAlign w:val="center"/>
          </w:tcPr>
          <w:p>
            <w:r>
              <w:rPr>
                <w:b/>
                <w:bCs/>
                <w:color w:val="ffffff"/>
                <w:sz w:val="22"/>
                <w:szCs w:val="22"/>
                <w:rFonts w:ascii="Calibri" w:cs="Calibri" w:eastAsia="Calibri" w:hAnsi="Calibri"/>
              </w:rPr>
              <w:t xml:space="preserve">Responsável</w:t>
            </w:r>
          </w:p>
        </w:tc>
        <w:tc>
          <w:tcPr>
            <w:tcW w:type="pct" w:w="20%"/>
            <w:shd w:color="1e3a8a" w:val="solid"/>
            <w:vAlign w:val="center"/>
          </w:tcPr>
          <w:p>
            <w:r>
              <w:rPr>
                <w:b/>
                <w:bCs/>
                <w:color w:val="ffffff"/>
                <w:sz w:val="22"/>
                <w:szCs w:val="22"/>
                <w:rFonts w:ascii="Calibri" w:cs="Calibri" w:eastAsia="Calibri" w:hAnsi="Calibri"/>
              </w:rPr>
              <w:t xml:space="preserve">Prazo</w:t>
            </w:r>
          </w:p>
        </w:tc>
        <w:tc>
          <w:tcPr>
            <w:tcW w:type="pct" w:w="20%"/>
            <w:shd w:color="1e3a8a" w:val="solid"/>
            <w:vAlign w:val="center"/>
          </w:tcPr>
          <w:p>
            <w:r>
              <w:rPr>
                <w:b/>
                <w:bCs/>
                <w:color w:val="ffffff"/>
                <w:sz w:val="22"/>
                <w:szCs w:val="22"/>
                <w:rFonts w:ascii="Calibri" w:cs="Calibri" w:eastAsia="Calibri" w:hAnsi="Calibri"/>
              </w:rPr>
              <w:t xml:space="preserve">Estado</w:t>
            </w:r>
          </w:p>
        </w:tc>
      </w:tr>
      <w:tr>
        <w:tc>
          <w:tcPr>
            <w:shd w:color="f3f4f6" w:val="solid"/>
            <w:vAlign w:val="center"/>
          </w:tcPr>
          <w:p>
            <w:r>
              <w:rPr>
                <w:color w:val="374151"/>
                <w:sz w:val="22"/>
                <w:szCs w:val="22"/>
                <w:rFonts w:ascii="Calibri" w:cs="Calibri" w:eastAsia="Calibri" w:hAnsi="Calibri"/>
              </w:rPr>
              <w:t xml:space="preserve">[Medida 1]</w:t>
            </w:r>
          </w:p>
        </w:tc>
        <w:tc>
          <w:tcPr>
            <w:vAlign w:val="center"/>
          </w:tcPr>
          <w:p>
            <w:r>
              <w:rPr>
                <w:color w:val="374151"/>
                <w:sz w:val="22"/>
                <w:szCs w:val="22"/>
                <w:rFonts w:ascii="Calibri" w:cs="Calibri" w:eastAsia="Calibri" w:hAnsi="Calibri"/>
              </w:rPr>
              <w:t xml:space="preserve">[Nome]</w:t>
            </w:r>
          </w:p>
        </w:tc>
        <w:tc>
          <w:tcPr>
            <w:vAlign w:val="center"/>
          </w:tcPr>
          <w:p>
            <w:r>
              <w:rPr>
                <w:color w:val="374151"/>
                <w:sz w:val="22"/>
                <w:szCs w:val="22"/>
                <w:rFonts w:ascii="Calibri" w:cs="Calibri" w:eastAsia="Calibri" w:hAnsi="Calibri"/>
              </w:rPr>
              <w:t xml:space="preserve">[DD/MM/AAAA]</w:t>
            </w:r>
          </w:p>
        </w:tc>
        <w:tc>
          <w:tcPr>
            <w:vAlign w:val="center"/>
          </w:tcPr>
          <w:p>
            <w:r>
              <w:rPr>
                <w:color w:val="374151"/>
                <w:sz w:val="22"/>
                <w:szCs w:val="22"/>
                <w:rFonts w:ascii="Calibri" w:cs="Calibri" w:eastAsia="Calibri" w:hAnsi="Calibri"/>
              </w:rPr>
              <w:t xml:space="preserve">[Em curso/Concluída]</w:t>
            </w:r>
          </w:p>
        </w:tc>
      </w:tr>
      <w:tr>
        <w:tc>
          <w:tcPr>
            <w:shd w:color="f3f4f6" w:val="solid"/>
            <w:vAlign w:val="center"/>
          </w:tcPr>
          <w:p>
            <w:r>
              <w:rPr>
                <w:color w:val="374151"/>
                <w:sz w:val="22"/>
                <w:szCs w:val="22"/>
                <w:rFonts w:ascii="Calibri" w:cs="Calibri" w:eastAsia="Calibri" w:hAnsi="Calibri"/>
              </w:rPr>
              <w:t xml:space="preserve">[Medida 2]</w:t>
            </w:r>
          </w:p>
        </w:tc>
        <w:tc>
          <w:tcPr>
            <w:vAlign w:val="center"/>
          </w:tcPr>
          <w:p>
            <w:r>
              <w:rPr>
                <w:color w:val="374151"/>
                <w:sz w:val="22"/>
                <w:szCs w:val="22"/>
                <w:rFonts w:ascii="Calibri" w:cs="Calibri" w:eastAsia="Calibri" w:hAnsi="Calibri"/>
              </w:rPr>
              <w:t xml:space="preserve">[Nome]</w:t>
            </w:r>
          </w:p>
        </w:tc>
        <w:tc>
          <w:tcPr>
            <w:vAlign w:val="center"/>
          </w:tcPr>
          <w:p>
            <w:r>
              <w:rPr>
                <w:color w:val="374151"/>
                <w:sz w:val="22"/>
                <w:szCs w:val="22"/>
                <w:rFonts w:ascii="Calibri" w:cs="Calibri" w:eastAsia="Calibri" w:hAnsi="Calibri"/>
              </w:rPr>
              <w:t xml:space="preserve">[DD/MM/AAAA]</w:t>
            </w:r>
          </w:p>
        </w:tc>
        <w:tc>
          <w:tcPr>
            <w:vAlign w:val="center"/>
          </w:tcPr>
          <w:p>
            <w:r>
              <w:rPr>
                <w:color w:val="374151"/>
                <w:sz w:val="22"/>
                <w:szCs w:val="22"/>
                <w:rFonts w:ascii="Calibri" w:cs="Calibri" w:eastAsia="Calibri" w:hAnsi="Calibri"/>
              </w:rPr>
              <w:t xml:space="preserve">[Em curso/Concluída]</w:t>
            </w:r>
          </w:p>
        </w:tc>
      </w:tr>
      <w:tr>
        <w:tc>
          <w:tcPr>
            <w:shd w:color="f3f4f6" w:val="solid"/>
            <w:vAlign w:val="center"/>
          </w:tcPr>
          <w:p>
            <w:r>
              <w:rPr>
                <w:color w:val="374151"/>
                <w:sz w:val="22"/>
                <w:szCs w:val="22"/>
                <w:rFonts w:ascii="Calibri" w:cs="Calibri" w:eastAsia="Calibri" w:hAnsi="Calibri"/>
              </w:rPr>
              <w:t xml:space="preserve">[Medida 3]</w:t>
            </w:r>
          </w:p>
        </w:tc>
        <w:tc>
          <w:tcPr>
            <w:vAlign w:val="center"/>
          </w:tcPr>
          <w:p>
            <w:r>
              <w:rPr>
                <w:color w:val="374151"/>
                <w:sz w:val="22"/>
                <w:szCs w:val="22"/>
                <w:rFonts w:ascii="Calibri" w:cs="Calibri" w:eastAsia="Calibri" w:hAnsi="Calibri"/>
              </w:rPr>
              <w:t xml:space="preserve">[Nome]</w:t>
            </w:r>
          </w:p>
        </w:tc>
        <w:tc>
          <w:tcPr>
            <w:vAlign w:val="center"/>
          </w:tcPr>
          <w:p>
            <w:r>
              <w:rPr>
                <w:color w:val="374151"/>
                <w:sz w:val="22"/>
                <w:szCs w:val="22"/>
                <w:rFonts w:ascii="Calibri" w:cs="Calibri" w:eastAsia="Calibri" w:hAnsi="Calibri"/>
              </w:rPr>
              <w:t xml:space="preserve">[DD/MM/AAAA]</w:t>
            </w:r>
          </w:p>
        </w:tc>
        <w:tc>
          <w:tcPr>
            <w:vAlign w:val="center"/>
          </w:tcPr>
          <w:p>
            <w:r>
              <w:rPr>
                <w:color w:val="374151"/>
                <w:sz w:val="22"/>
                <w:szCs w:val="22"/>
                <w:rFonts w:ascii="Calibri" w:cs="Calibri" w:eastAsia="Calibri" w:hAnsi="Calibri"/>
              </w:rPr>
              <w:t xml:space="preserve">[Em curso/Concluída]</w:t>
            </w:r>
          </w:p>
        </w:tc>
      </w:tr>
    </w:tbl>
    <w:p>
      <w:pPr>
        <w:pStyle w:val="Heading2"/>
        <w:spacing w:before="320" w:after="160"/>
      </w:pPr>
      <w:r>
        <w:rPr>
          <w:b/>
          <w:bCs/>
          <w:color w:val="1e3a8a"/>
          <w:sz w:val="28"/>
          <w:szCs w:val="28"/>
          <w:rFonts w:ascii="Calibri" w:cs="Calibri" w:eastAsia="Calibri" w:hAnsi="Calibri"/>
        </w:rPr>
        <w:t xml:space="preserve">E. Anexos</w:t>
      </w:r>
    </w:p>
    <w:p>
      <w:pPr>
        <w:pStyle w:val="ListParagraph"/>
        <w:numPr>
          <w:ilvl w:val="0"/>
          <w:numId w:val="1"/>
        </w:numPr>
        <w:spacing w:after="80"/>
      </w:pPr>
      <w:r>
        <w:rPr>
          <w:color w:val="374151"/>
          <w:sz w:val="22"/>
          <w:szCs w:val="22"/>
          <w:rFonts w:ascii="Calibri" w:cs="Calibri" w:eastAsia="Calibri" w:hAnsi="Calibri"/>
        </w:rPr>
        <w:t xml:space="preserve">☐ Cópia da notificação da infração ou do processo de contraordenação, se aplicável</w:t>
      </w:r>
    </w:p>
    <w:p>
      <w:pPr>
        <w:pStyle w:val="ListParagraph"/>
        <w:numPr>
          <w:ilvl w:val="0"/>
          <w:numId w:val="1"/>
        </w:numPr>
        <w:spacing w:after="80"/>
      </w:pPr>
      <w:r>
        <w:rPr>
          <w:color w:val="374151"/>
          <w:sz w:val="22"/>
          <w:szCs w:val="22"/>
          <w:rFonts w:ascii="Calibri" w:cs="Calibri" w:eastAsia="Calibri" w:hAnsi="Calibri"/>
        </w:rPr>
        <w:t xml:space="preserve">☐ Evidência documental da inexistência de procedimento interno de adaptação à data dos factos</w:t>
      </w:r>
    </w:p>
    <w:p>
      <w:pPr>
        <w:pStyle w:val="ListParagraph"/>
        <w:numPr>
          <w:ilvl w:val="0"/>
          <w:numId w:val="1"/>
        </w:numPr>
        <w:spacing w:after="80"/>
      </w:pPr>
      <w:r>
        <w:rPr>
          <w:color w:val="374151"/>
          <w:sz w:val="22"/>
          <w:szCs w:val="22"/>
          <w:rFonts w:ascii="Calibri" w:cs="Calibri" w:eastAsia="Calibri" w:hAnsi="Calibri"/>
        </w:rPr>
        <w:t xml:space="preserve">☐ Plano de adaptação ao regime jurídico da cibersegurança, com calendário</w:t>
      </w:r>
    </w:p>
    <w:p>
      <w:pPr>
        <w:pStyle w:val="ListParagraph"/>
        <w:numPr>
          <w:ilvl w:val="0"/>
          <w:numId w:val="1"/>
        </w:numPr>
        <w:spacing w:after="80"/>
      </w:pPr>
      <w:r>
        <w:rPr>
          <w:color w:val="374151"/>
          <w:sz w:val="22"/>
          <w:szCs w:val="22"/>
          <w:rFonts w:ascii="Calibri" w:cs="Calibri" w:eastAsia="Calibri" w:hAnsi="Calibri"/>
        </w:rPr>
        <w:t xml:space="preserve">☐ Evidência das diligências já realizadas (atas, contratos, formações, políticas aprovadas)</w:t>
      </w:r>
    </w:p>
    <w:p>
      <w:pPr>
        <w:pStyle w:val="ListParagraph"/>
        <w:numPr>
          <w:ilvl w:val="0"/>
          <w:numId w:val="1"/>
        </w:numPr>
        <w:spacing w:after="80"/>
      </w:pPr>
      <w:r>
        <w:rPr>
          <w:color w:val="374151"/>
          <w:sz w:val="22"/>
          <w:szCs w:val="22"/>
          <w:rFonts w:ascii="Calibri" w:cs="Calibri" w:eastAsia="Calibri" w:hAnsi="Calibri"/>
        </w:rPr>
        <w:t xml:space="preserve">☐ Procuração ou documento comprovativo dos poderes de representação, se aplicável</w:t>
      </w:r>
    </w:p>
    <w:p>
      <w:pPr>
        <w:pStyle w:val="ListParagraph"/>
        <w:numPr>
          <w:ilvl w:val="0"/>
          <w:numId w:val="1"/>
        </w:numPr>
        <w:spacing w:after="80"/>
      </w:pPr>
      <w:r>
        <w:rPr>
          <w:color w:val="374151"/>
          <w:sz w:val="22"/>
          <w:szCs w:val="22"/>
          <w:rFonts w:ascii="Calibri" w:cs="Calibri" w:eastAsia="Calibri" w:hAnsi="Calibri"/>
        </w:rPr>
        <w:t xml:space="preserve">☐ Outros elementos considerados relevantes: [descrever]</w:t>
      </w:r>
    </w:p>
    <w:p>
      <w:r>
        <w:br w:type="page"/>
      </w:r>
    </w:p>
    <w:p>
      <w:pPr>
        <w:pStyle w:val="Heading2"/>
        <w:spacing w:before="320" w:after="160"/>
      </w:pPr>
      <w:r>
        <w:rPr>
          <w:b/>
          <w:bCs/>
          <w:color w:val="1e3a8a"/>
          <w:sz w:val="28"/>
          <w:szCs w:val="28"/>
          <w:rFonts w:ascii="Calibri" w:cs="Calibri" w:eastAsia="Calibri" w:hAnsi="Calibri"/>
        </w:rPr>
        <w:t xml:space="preserve">F. Pedido</w:t>
      </w:r>
    </w:p>
    <w:p>
      <w:pPr>
        <w:spacing w:after="160"/>
      </w:pPr>
      <w:r>
        <w:rPr>
          <w:color w:val="374151"/>
          <w:sz w:val="22"/>
          <w:szCs w:val="22"/>
          <w:rFonts w:ascii="Calibri" w:cs="Calibri" w:eastAsia="Calibri" w:hAnsi="Calibri"/>
        </w:rPr>
        <w:t xml:space="preserve">Nestes termos, e nos demais de direito aplicáveis, requer-se a V. Exa. que, ao abrigo do Art. 65.º do DL 125/2025, seja concedida a dispensa da aplicação da coima acima identificada, com fundamento na inexistência, à data dos factos, de procedimento interno de adaptação da entidade requerente ao regime jurídico da cibersegurança, tal como fundamentado nas secções C e D deste requerimento.</w:t>
      </w:r>
    </w:p>
    <w:p>
      <w:pPr>
        <w:spacing w:after="160"/>
      </w:pPr>
      <w:r>
        <w:rPr>
          <w:color w:val="374151"/>
          <w:sz w:val="22"/>
          <w:szCs w:val="22"/>
          <w:rFonts w:ascii="Calibri" w:cs="Calibri" w:eastAsia="Calibri" w:hAnsi="Calibri"/>
        </w:rPr>
        <w:t xml:space="preserve">Mais se requer que, subsidiariamente e caso aplicável, seja tida em conta a garantia de advertência prévia estabelecida no Art. 66.º n.º 5 do DL 125/2025.</w:t>
      </w:r>
    </w:p>
    <w:p>
      <w:pPr>
        <w:spacing w:after="160"/>
      </w:pPr>
      <w:r>
        <w:rPr>
          <w:color w:val="374151"/>
          <w:sz w:val="22"/>
          <w:szCs w:val="22"/>
          <w:rFonts w:ascii="Calibri" w:cs="Calibri" w:eastAsia="Calibri" w:hAnsi="Calibri"/>
        </w:rPr>
        <w:t xml:space="preserve">Pede deferimento.</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40%"/>
            <w:shd w:color="1e3a8a" w:val="solid"/>
            <w:vAlign w:val="center"/>
          </w:tcPr>
          <w:p>
            <w:r>
              <w:rPr>
                <w:b/>
                <w:bCs/>
                <w:color w:val="ffffff"/>
                <w:sz w:val="22"/>
                <w:szCs w:val="22"/>
                <w:rFonts w:ascii="Calibri" w:cs="Calibri" w:eastAsia="Calibri" w:hAnsi="Calibri"/>
              </w:rPr>
              <w:t xml:space="preserve">Campo</w:t>
            </w:r>
          </w:p>
        </w:tc>
        <w:tc>
          <w:tcPr>
            <w:tcW w:type="pct" w:w="60%"/>
            <w:shd w:color="1e3a8a" w:val="solid"/>
            <w:vAlign w:val="center"/>
          </w:tcPr>
          <w:p>
            <w:r>
              <w:rPr>
                <w:b/>
                <w:bCs/>
                <w:color w:val="ffffff"/>
                <w:sz w:val="22"/>
                <w:szCs w:val="22"/>
                <w:rFonts w:ascii="Calibri" w:cs="Calibri" w:eastAsia="Calibri" w:hAnsi="Calibri"/>
              </w:rPr>
              <w:t xml:space="preserve">Valor</w:t>
            </w:r>
          </w:p>
        </w:tc>
      </w:tr>
      <w:tr>
        <w:tc>
          <w:tcPr>
            <w:shd w:color="f3f4f6" w:val="solid"/>
            <w:vAlign w:val="center"/>
          </w:tcPr>
          <w:p>
            <w:r>
              <w:rPr>
                <w:color w:val="374151"/>
                <w:sz w:val="22"/>
                <w:szCs w:val="22"/>
                <w:rFonts w:ascii="Calibri" w:cs="Calibri" w:eastAsia="Calibri" w:hAnsi="Calibri"/>
              </w:rPr>
              <w:t xml:space="preserve">Local</w:t>
            </w:r>
          </w:p>
        </w:tc>
        <w:tc>
          <w:tcPr>
            <w:vAlign w:val="center"/>
          </w:tcPr>
          <w:p>
            <w:r>
              <w:rPr>
                <w:color w:val="374151"/>
                <w:sz w:val="22"/>
                <w:szCs w:val="22"/>
                <w:rFonts w:ascii="Calibri" w:cs="Calibri" w:eastAsia="Calibri" w:hAnsi="Calibri"/>
              </w:rPr>
              <w:t xml:space="preserve">[Local]</w:t>
            </w:r>
          </w:p>
        </w:tc>
      </w:tr>
      <w:tr>
        <w:tc>
          <w:tcPr>
            <w:shd w:color="f3f4f6" w:val="solid"/>
            <w:vAlign w:val="center"/>
          </w:tcPr>
          <w:p>
            <w:r>
              <w:rPr>
                <w:color w:val="374151"/>
                <w:sz w:val="22"/>
                <w:szCs w:val="22"/>
                <w:rFonts w:ascii="Calibri" w:cs="Calibri" w:eastAsia="Calibri" w:hAnsi="Calibri"/>
              </w:rPr>
              <w:t xml:space="preserve">Data</w:t>
            </w:r>
          </w:p>
        </w:tc>
        <w:tc>
          <w:tcPr>
            <w:vAlign w:val="center"/>
          </w:tcPr>
          <w:p>
            <w:r>
              <w:rPr>
                <w:color w:val="374151"/>
                <w:sz w:val="22"/>
                <w:szCs w:val="22"/>
                <w:rFonts w:ascii="Calibri" w:cs="Calibri" w:eastAsia="Calibri" w:hAnsi="Calibri"/>
              </w:rPr>
              <w:t xml:space="preserve">[DD/MM/AAAA]</w:t>
            </w:r>
          </w:p>
        </w:tc>
      </w:tr>
    </w:tbl>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W w:type="pct" w:w="30%"/>
            <w:shd w:color="1e3a8a" w:val="solid"/>
            <w:vAlign w:val="center"/>
          </w:tcPr>
          <w:p>
            <w:r>
              <w:rPr>
                <w:b/>
                <w:bCs/>
                <w:color w:val="ffffff"/>
                <w:sz w:val="22"/>
                <w:szCs w:val="22"/>
                <w:rFonts w:ascii="Calibri" w:cs="Calibri" w:eastAsia="Calibri" w:hAnsi="Calibri"/>
              </w:rPr>
              <w:t xml:space="preserve">Campo</w:t>
            </w:r>
          </w:p>
        </w:tc>
        <w:tc>
          <w:tcPr>
            <w:tcW w:type="pct" w:w="70%"/>
            <w:shd w:color="1e3a8a" w:val="solid"/>
            <w:vAlign w:val="center"/>
          </w:tcPr>
          <w:p>
            <w:r>
              <w:rPr>
                <w:b/>
                <w:bCs/>
                <w:color w:val="ffffff"/>
                <w:sz w:val="22"/>
                <w:szCs w:val="22"/>
                <w:rFonts w:ascii="Calibri" w:cs="Calibri" w:eastAsia="Calibri" w:hAnsi="Calibri"/>
              </w:rPr>
              <w:t xml:space="preserve">Preenchimento</w:t>
            </w:r>
          </w:p>
        </w:tc>
      </w:tr>
      <w:tr>
        <w:tc>
          <w:tcPr>
            <w:shd w:color="f3f4f6" w:val="solid"/>
            <w:vAlign w:val="center"/>
          </w:tcPr>
          <w:p>
            <w:r>
              <w:rPr>
                <w:color w:val="374151"/>
                <w:sz w:val="22"/>
                <w:szCs w:val="22"/>
                <w:rFonts w:ascii="Calibri" w:cs="Calibri" w:eastAsia="Calibri" w:hAnsi="Calibri"/>
              </w:rPr>
              <w:t xml:space="preserve">Nome</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Cargo/Qualidade em que assina</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Data</w:t>
            </w:r>
          </w:p>
        </w:tc>
        <w:tc>
          <w:tcPr>
            <w:vAlign w:val="center"/>
          </w:tcPr>
          <w:p>
            <w:r>
              <w:rPr>
                <w:color w:val="374151"/>
                <w:sz w:val="22"/>
                <w:szCs w:val="22"/>
                <w:rFonts w:ascii="Calibri" w:cs="Calibri" w:eastAsia="Calibri" w:hAnsi="Calibri"/>
              </w:rPr>
            </w:r>
          </w:p>
        </w:tc>
      </w:tr>
      <w:tr>
        <w:tc>
          <w:tcPr>
            <w:shd w:color="f3f4f6" w:val="solid"/>
            <w:vAlign w:val="center"/>
          </w:tcPr>
          <w:p>
            <w:r>
              <w:rPr>
                <w:color w:val="374151"/>
                <w:sz w:val="22"/>
                <w:szCs w:val="22"/>
                <w:rFonts w:ascii="Calibri" w:cs="Calibri" w:eastAsia="Calibri" w:hAnsi="Calibri"/>
              </w:rPr>
              <w:t xml:space="preserve">Assinatura</w:t>
            </w:r>
          </w:p>
        </w:tc>
        <w:tc>
          <w:tcPr>
            <w:vAlign w:val="center"/>
          </w:tcPr>
          <w:p>
            <w:r>
              <w:rPr>
                <w:color w:val="374151"/>
                <w:sz w:val="22"/>
                <w:szCs w:val="22"/>
                <w:rFonts w:ascii="Calibri" w:cs="Calibri" w:eastAsia="Calibri" w:hAnsi="Calibri"/>
              </w:rPr>
            </w:r>
          </w:p>
        </w:tc>
      </w:tr>
    </w:tbl>
    <w:p>
      <w:r>
        <w:br w:type="page"/>
      </w:r>
    </w:p>
    <w:p>
      <w:pPr>
        <w:pStyle w:val="Heading1"/>
        <w:spacing w:before="400" w:after="200"/>
      </w:pPr>
      <w:r>
        <w:rPr>
          <w:b/>
          <w:bCs/>
          <w:color w:val="1e3a8a"/>
          <w:sz w:val="32"/>
          <w:szCs w:val="32"/>
          <w:rFonts w:ascii="Calibri" w:cs="Calibri" w:eastAsia="Calibri" w:hAnsi="Calibri"/>
        </w:rPr>
        <w:t xml:space="preserve">Efeito e seguimento do pedido</w:t>
      </w:r>
    </w:p>
    <w:p>
      <w:pPr>
        <w:spacing w:after="160"/>
      </w:pPr>
      <w:r>
        <w:rPr>
          <w:color w:val="374151"/>
          <w:sz w:val="22"/>
          <w:szCs w:val="22"/>
          <w:rFonts w:ascii="Calibri" w:cs="Calibri" w:eastAsia="Calibri" w:hAnsi="Calibri"/>
        </w:rPr>
        <w:t xml:space="preserve">A lei não fixa um prazo específico para a decisão sobre este pedido nem esclarece em que fase processual deve ser apresentado — antes da instauração do processo de contraordenação, durante a instrução, ou como meio de defesa. Recomenda-se confirmar estes aspetos junto do CNCS ou da autoridade competente antes da submissão, e conservar comprovativo de entrega e de eventual resposta na plataforma eletrónica.</w:t>
      </w:r>
    </w:p>
    <w:p>
      <w:pPr>
        <w:pStyle w:val="ListParagraph"/>
        <w:numPr>
          <w:ilvl w:val="0"/>
          <w:numId w:val="1"/>
        </w:numPr>
        <w:spacing w:after="80"/>
      </w:pPr>
      <w:r>
        <w:rPr>
          <w:color w:val="374151"/>
          <w:sz w:val="22"/>
          <w:szCs w:val="22"/>
          <w:rFonts w:ascii="Calibri" w:cs="Calibri" w:eastAsia="Calibri" w:hAnsi="Calibri"/>
        </w:rPr>
        <w:t xml:space="preserve">Apresentar o pedido através da plataforma eletrónica (MyCiber) ou por outro canal indicado pela autoridade competente.</w:t>
      </w:r>
    </w:p>
    <w:p>
      <w:pPr>
        <w:pStyle w:val="ListParagraph"/>
        <w:numPr>
          <w:ilvl w:val="0"/>
          <w:numId w:val="1"/>
        </w:numPr>
        <w:spacing w:after="80"/>
      </w:pPr>
      <w:r>
        <w:rPr>
          <w:color w:val="374151"/>
          <w:sz w:val="22"/>
          <w:szCs w:val="22"/>
          <w:rFonts w:ascii="Calibri" w:cs="Calibri" w:eastAsia="Calibri" w:hAnsi="Calibri"/>
        </w:rPr>
        <w:t xml:space="preserve">Guardar comprovativo de submissão e número de referência do pedido.</w:t>
      </w:r>
    </w:p>
    <w:p>
      <w:pPr>
        <w:pStyle w:val="ListParagraph"/>
        <w:numPr>
          <w:ilvl w:val="0"/>
          <w:numId w:val="1"/>
        </w:numPr>
        <w:spacing w:after="80"/>
      </w:pPr>
      <w:r>
        <w:rPr>
          <w:color w:val="374151"/>
          <w:sz w:val="22"/>
          <w:szCs w:val="22"/>
          <w:rFonts w:ascii="Calibri" w:cs="Calibri" w:eastAsia="Calibri" w:hAnsi="Calibri"/>
        </w:rPr>
        <w:t xml:space="preserve">Acompanhar a área reservada da entidade para eventual pedido de elementos adicionais.</w:t>
      </w:r>
    </w:p>
    <w:p>
      <w:pPr>
        <w:pStyle w:val="ListParagraph"/>
        <w:numPr>
          <w:ilvl w:val="0"/>
          <w:numId w:val="1"/>
        </w:numPr>
        <w:spacing w:after="80"/>
      </w:pPr>
      <w:r>
        <w:rPr>
          <w:color w:val="374151"/>
          <w:sz w:val="22"/>
          <w:szCs w:val="22"/>
          <w:rFonts w:ascii="Calibri" w:cs="Calibri" w:eastAsia="Calibri" w:hAnsi="Calibri"/>
        </w:rPr>
        <w:t xml:space="preserve">Registar a decisão final e as respetivas consequências no dossiê de conformidade da entidade.</w:t>
      </w:r>
    </w:p>
    <w:p>
      <w:pPr>
        <w:pBdr>
          <w:left w:val="single" w:color="f97316" w:sz="24" w:space="8"/>
        </w:pBdr>
        <w:shd w:color="FEF3C7" w:val="solid"/>
        <w:spacing w:before="160" w:after="160"/>
        <w:ind w:left="360" w:right="360"/>
      </w:pPr>
      <w:r>
        <w:rPr>
          <w:b/>
          <w:bCs/>
          <w:color w:val="374151"/>
          <w:sz w:val="22"/>
          <w:szCs w:val="22"/>
          <w:rFonts w:ascii="Calibri" w:cs="Calibri" w:eastAsia="Calibri" w:hAnsi="Calibri"/>
        </w:rPr>
        <w:t xml:space="preserve">Este documento é um template de apoio e não substitui aconselhamento jurídico. A qualificação dos factos, a fundamentação de direito e a estratégia processual devem ser validadas por advogado antes da submissão do pedido, sobretudo quando já exista processo de contraordenação instaurado.</w:t>
      </w:r>
    </w:p>
    <w:p>
      <w:r>
        <w:br w:type="page"/>
      </w:r>
    </w:p>
    <w:p>
      <w:pPr>
        <w:pStyle w:val="Heading1"/>
        <w:spacing w:before="400" w:after="200"/>
      </w:pPr>
      <w:r>
        <w:rPr>
          <w:b/>
          <w:bCs/>
          <w:color w:val="1e3a8a"/>
          <w:sz w:val="32"/>
          <w:szCs w:val="32"/>
          <w:rFonts w:ascii="Calibri" w:cs="Calibri" w:eastAsia="Calibri" w:hAnsi="Calibri"/>
        </w:rPr>
        <w:t xml:space="preserve">Anexo — Checklist de verificação</w:t>
      </w:r>
    </w:p>
    <w:p>
      <w:pPr>
        <w:pStyle w:val="ListParagraph"/>
        <w:numPr>
          <w:ilvl w:val="0"/>
          <w:numId w:val="1"/>
        </w:numPr>
        <w:spacing w:after="80"/>
      </w:pPr>
      <w:r>
        <w:rPr>
          <w:color w:val="374151"/>
          <w:sz w:val="22"/>
          <w:szCs w:val="22"/>
          <w:rFonts w:ascii="Calibri" w:cs="Calibri" w:eastAsia="Calibri" w:hAnsi="Calibri"/>
        </w:rPr>
        <w:t xml:space="preserve">☐ Confirmado que a coima em causa se enquadra no Art. 61.º n.º 2 ou no Art. 62.º n.º 2 do DL 125/2025</w:t>
      </w:r>
    </w:p>
    <w:p>
      <w:pPr>
        <w:pStyle w:val="ListParagraph"/>
        <w:numPr>
          <w:ilvl w:val="0"/>
          <w:numId w:val="1"/>
        </w:numPr>
        <w:spacing w:after="80"/>
      </w:pPr>
      <w:r>
        <w:rPr>
          <w:color w:val="374151"/>
          <w:sz w:val="22"/>
          <w:szCs w:val="22"/>
          <w:rFonts w:ascii="Calibri" w:cs="Calibri" w:eastAsia="Calibri" w:hAnsi="Calibri"/>
        </w:rPr>
        <w:t xml:space="preserve">☐ Confirmado que o pedido é apresentado até 3 de abril de 2027 (12 meses após a entrada em vigor do DL 125/2025)</w:t>
      </w:r>
    </w:p>
    <w:p>
      <w:pPr>
        <w:pStyle w:val="ListParagraph"/>
        <w:numPr>
          <w:ilvl w:val="0"/>
          <w:numId w:val="1"/>
        </w:numPr>
        <w:spacing w:after="80"/>
      </w:pPr>
      <w:r>
        <w:rPr>
          <w:color w:val="374151"/>
          <w:sz w:val="22"/>
          <w:szCs w:val="22"/>
          <w:rFonts w:ascii="Calibri" w:cs="Calibri" w:eastAsia="Calibri" w:hAnsi="Calibri"/>
        </w:rPr>
        <w:t xml:space="preserve">☐ Identificada a autoridade de cibersegurança competente (Art. 15.º)</w:t>
      </w:r>
    </w:p>
    <w:p>
      <w:pPr>
        <w:pStyle w:val="ListParagraph"/>
        <w:numPr>
          <w:ilvl w:val="0"/>
          <w:numId w:val="1"/>
        </w:numPr>
        <w:spacing w:after="80"/>
      </w:pPr>
      <w:r>
        <w:rPr>
          <w:color w:val="374151"/>
          <w:sz w:val="22"/>
          <w:szCs w:val="22"/>
          <w:rFonts w:ascii="Calibri" w:cs="Calibri" w:eastAsia="Calibri" w:hAnsi="Calibri"/>
        </w:rPr>
        <w:t xml:space="preserve">☐ Fundamentação da inexistência de procedimento interno de adaptação à data dos factos preparada</w:t>
      </w:r>
    </w:p>
    <w:p>
      <w:pPr>
        <w:pStyle w:val="ListParagraph"/>
        <w:numPr>
          <w:ilvl w:val="0"/>
          <w:numId w:val="1"/>
        </w:numPr>
        <w:spacing w:after="80"/>
      </w:pPr>
      <w:r>
        <w:rPr>
          <w:color w:val="374151"/>
          <w:sz w:val="22"/>
          <w:szCs w:val="22"/>
          <w:rFonts w:ascii="Calibri" w:cs="Calibri" w:eastAsia="Calibri" w:hAnsi="Calibri"/>
        </w:rPr>
        <w:t xml:space="preserve">☐ Plano de adaptação entretanto adotado documentado e anexado</w:t>
      </w:r>
    </w:p>
    <w:p>
      <w:pPr>
        <w:pStyle w:val="ListParagraph"/>
        <w:numPr>
          <w:ilvl w:val="0"/>
          <w:numId w:val="1"/>
        </w:numPr>
        <w:spacing w:after="80"/>
      </w:pPr>
      <w:r>
        <w:rPr>
          <w:color w:val="374151"/>
          <w:sz w:val="22"/>
          <w:szCs w:val="22"/>
          <w:rFonts w:ascii="Calibri" w:cs="Calibri" w:eastAsia="Calibri" w:hAnsi="Calibri"/>
        </w:rPr>
        <w:t xml:space="preserve">☐ Anexos reunidos e numerados</w:t>
      </w:r>
    </w:p>
    <w:p>
      <w:pPr>
        <w:pStyle w:val="ListParagraph"/>
        <w:numPr>
          <w:ilvl w:val="0"/>
          <w:numId w:val="1"/>
        </w:numPr>
        <w:spacing w:after="80"/>
      </w:pPr>
      <w:r>
        <w:rPr>
          <w:color w:val="374151"/>
          <w:sz w:val="22"/>
          <w:szCs w:val="22"/>
          <w:rFonts w:ascii="Calibri" w:cs="Calibri" w:eastAsia="Calibri" w:hAnsi="Calibri"/>
        </w:rPr>
        <w:t xml:space="preserve">☐ Requerimento revisto por advogado antes da submissão</w:t>
      </w:r>
    </w:p>
    <w:p>
      <w:pPr>
        <w:pStyle w:val="ListParagraph"/>
        <w:numPr>
          <w:ilvl w:val="0"/>
          <w:numId w:val="1"/>
        </w:numPr>
        <w:spacing w:after="80"/>
      </w:pPr>
      <w:r>
        <w:rPr>
          <w:color w:val="374151"/>
          <w:sz w:val="22"/>
          <w:szCs w:val="22"/>
          <w:rFonts w:ascii="Calibri" w:cs="Calibri" w:eastAsia="Calibri" w:hAnsi="Calibri"/>
        </w:rPr>
        <w:t xml:space="preserve">☐ Comprovativo de submissão guardado</w:t>
      </w:r>
    </w:p>
    <w:p>
      <w:pPr>
        <w:pStyle w:val="Heading1"/>
      </w:pPr>
      <w:r>
        <w:rPr>
          <w:b/>
          <w:color w:val="1E3A8A"/>
          <w:sz w:val="28"/>
        </w:rPr>
        <w:t>1. Aprovação do documento</w:t>
      </w:r>
    </w:p>
    <w:tbl>
      <w:tblPr>
        <w:tblW w:type="auto" w:w="0"/>
        <w:tblLook w:firstColumn="1" w:firstRow="1" w:lastColumn="0" w:lastRow="0" w:noHBand="0" w:noVBand="1" w:val="04A0"/>
      </w:tblPr>
      <w:tblGrid>
        <w:gridCol w:w="2256"/>
        <w:gridCol w:w="2256"/>
        <w:gridCol w:w="2256"/>
        <w:gridCol w:w="2256"/>
      </w:tblGrid>
      <w:tr>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Papel</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Nome</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Cargo</w:t>
            </w:r>
          </w:p>
        </w:tc>
        <w:tc>
          <w:tcPr>
            <w:tcW w:type="dxa" w:w="2256"/>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Data e assinatura</w:t>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Elaborado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[DPO/CISO]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Revisto por</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Aprovado por</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Conselho de Administração</w:t>
            </w:r>
          </w:p>
        </w:tc>
        <w:tc>
          <w:tcPr>
            <w:tcW w:type="dxa" w:w="2256"/>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r>
          </w:p>
        </w:tc>
      </w:tr>
      <w:tr>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Comunicado a</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Todos os colaboradores</w:t>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c>
          <w:tcPr>
            <w:tcW w:type="dxa" w:w="2256"/>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r>
          </w:p>
        </w:tc>
      </w:tr>
    </w:tbl>
    <w:p>
      <w:r>
        <w:rPr>
          <w:i/>
          <w:color w:val="374151"/>
          <w:sz w:val="20"/>
        </w:rPr>
        <w:t>Este documento é controlado pelo sistema de gestão documental da organização. Alterações requerem aprovação formal conforme tabela acima. A próxima revisão deve ocorrer até 14/09/2027.</w:t>
      </w:r>
    </w:p>
    <w:p>
      <w:pPr>
        <w:pStyle w:val="Heading1"/>
      </w:pPr>
      <w:r>
        <w:rPr>
          <w:b/>
          <w:color w:val="1E3A8A"/>
          <w:sz w:val="28"/>
        </w:rPr>
        <w:t>2. Glossário</w:t>
      </w:r>
    </w:p>
    <w:p>
      <w:r>
        <w:rPr>
          <w:color w:val="374151"/>
          <w:sz w:val="22"/>
        </w:rPr>
        <w:t>Para facilitar a leitura, apresentam-se os termos técnicos e legais usados ao longo deste documento.</w:t>
      </w:r>
    </w:p>
    <w:tbl>
      <w:tblPr>
        <w:tblW w:type="auto" w:w="0"/>
        <w:tblLook w:firstColumn="1" w:firstRow="1" w:lastColumn="0" w:lastRow="0" w:noHBand="0" w:noVBand="1" w:val="04A0"/>
      </w:tblPr>
      <w:tblGrid>
        <w:gridCol w:w="4513"/>
        <w:gridCol w:w="4513"/>
      </w:tblGrid>
      <w:tr>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Termo</w:t>
            </w:r>
          </w:p>
        </w:tc>
        <w:tc>
          <w:tcPr>
            <w:tcW w:type="dxa" w:w="4513"/>
            <w:shd w:val="clear" w:color="auto" w:fill="1E3A8A"/>
            <w:tcBorders>
              <w:top w:val="single" w:sz="4" w:space="0" w:color="D1D5DB"/>
              <w:left w:val="single" w:sz="4" w:space="0" w:color="D1D5DB"/>
              <w:bottom w:val="single" w:sz="4" w:space="0" w:color="D1D5DB"/>
              <w:right w:val="single" w:sz="4" w:space="0" w:color="D1D5DB"/>
            </w:tcBorders>
          </w:tcPr>
          <w:p>
            <w:r/>
            <w:r>
              <w:rPr>
                <w:b/>
                <w:color w:val="FFFFFF"/>
                <w:sz w:val="20"/>
              </w:rPr>
              <w:t>Definição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NIS2</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Diretiva (UE) 2022/2555 relativa a medidas destinadas a garantir um elevado nível comum de cibersegurança em toda a União (substitui a NIS de 2016)</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DL 125/2025</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Decreto-Lei n.º 125/2025, de 4 de dezembro, que transpõe para Portugal a Diretiva NIS2</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CNCS</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Centro Nacional de Cibersegurança, autoridade competente NIS2 em Portugal (Art. 15.º DL 125/2025)</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CERT.PT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Equipa de resposta a incidentes de segurança informática nacional integrada no CNCS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OE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Entidade Essencial (Art. 6.º DL 125/2025) — entidade sujeita a maiores obrigações e supervisão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OI</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Entidade Importante (Art. 6.º DL 125/2025) — regime proporcional com supervisão ex-post</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SGSI</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Sistema de Gestão de Segurança da Informação (ISO/IEC 27001)</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CSIRT</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Computer Security Incident Response Team — equipa de resposta a incidentes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SOC</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Security Operations Centre — centro de operações de segurança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SIEM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Security Information and Event Management — correlação e análise de logs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EDR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Endpoint Detection and Response — deteção e resposta em endpoints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XDR</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Extended Detection and Response — deteção estendida (endpoints + rede + cloud)</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IAM</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Identity and Access Management — gestão de identidades e acessos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PAM</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Privileged Access Management — gestão de acessos privilegiados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MFA</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Multi-Factor Authentication — autenticação multifator</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SSO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Single Sign-On — autenticação única</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DLP</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Data Loss Prevention — prevenção de fuga de dados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DPIA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Data Protection Impact Assessment (RGPD Art. 35.º) — avaliação de impacto sobre proteção de dados</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AIPD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Avaliação de Impacto sobre a Proteção de Dados (equivalente PT-PT do DPIA)</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RTO</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Recovery Time Objective — tempo máximo de recuperação aceitável</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RPO</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Recovery Point Objective — perda máxima de dados aceitável</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MTTD</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Mean Time To Detect — tempo médio de deteção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MTTR</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Mean Time To Respond/Recover — tempo médio de resposta ou recuperação</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IoC</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Indicator of Compromise — indicador de compromisso</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TLPT</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Threat-Led Penetration Testing — teste de penetração baseado em ameaças (DORA Art. 26.º)</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TTP</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Tactics, Techniques and Procedures — táticas, técnicas e procedimentos (MITRE ATT&amp;CK)</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CVE</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Vulnerabilities and Exposures — base de dados pública de vulnerabilidades</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CVSS</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Common Vulnerability Scoring System — sistema de pontuação de vulnerabilidades (0-10)</w:t>
            </w:r>
          </w:p>
        </w:tc>
      </w:tr>
      <w:tr>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color w:val="374151"/>
                <w:sz w:val="20"/>
              </w:rPr>
              <w:t>RGPD</w:t>
            </w:r>
          </w:p>
        </w:tc>
        <w:tc>
          <w:tcPr>
            <w:tcW w:type="dxa" w:w="4513"/>
            <w:shd w:val="clear" w:color="auto" w:fill="F9FAFB"/>
            <w:tcBorders>
              <w:top w:val="single" w:sz="4" w:space="0" w:color="D1D5DB"/>
              <w:left w:val="single" w:sz="4" w:space="0" w:color="D1D5DB"/>
              <w:bottom w:val="single" w:sz="4" w:space="0" w:color="D1D5DB"/>
              <w:right w:val="single" w:sz="4" w:space="0" w:color="D1D5DB"/>
            </w:tcBorders>
          </w:tcPr>
          <w:p>
            <w:r/>
            <w:r>
              <w:rPr>
                <w:b w:val="0"/>
                <w:color w:val="374151"/>
                <w:sz w:val="20"/>
              </w:rPr>
              <w:t>Regulamento Geral sobre a Proteção de Dados (UE 2016/679)</w:t>
            </w:r>
          </w:p>
        </w:tc>
      </w:tr>
      <w:tr>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color w:val="374151"/>
                <w:sz w:val="20"/>
              </w:rPr>
              <w:t>DORA</w:t>
            </w:r>
          </w:p>
        </w:tc>
        <w:tc>
          <w:tcPr>
            <w:tcW w:type="dxa" w:w="4513"/>
            <w:shd w:val="clear" w:color="auto" w:fill="FFFFFF"/>
            <w:tcBorders>
              <w:top w:val="single" w:sz="4" w:space="0" w:color="D1D5DB"/>
              <w:left w:val="single" w:sz="4" w:space="0" w:color="D1D5DB"/>
              <w:bottom w:val="single" w:sz="4" w:space="0" w:color="D1D5DB"/>
              <w:right w:val="single" w:sz="4" w:space="0" w:color="D1D5DB"/>
            </w:tcBorders>
          </w:tcPr>
          <w:p>
            <w:r/>
            <w:r>
              <w:rPr>
                <w:b w:val="0"/>
                <w:color w:val="374151"/>
                <w:sz w:val="20"/>
              </w:rPr>
              <w:t>Digital Operational Resilience Act — Regulamento (UE) 2022/2554 para o setor financeiro</w:t>
            </w:r>
          </w:p>
        </w:tc>
      </w:tr>
    </w:tbl>
    <w:p>
      <w:pPr>
        <w:pStyle w:val="Heading1"/>
      </w:pPr>
      <w:r>
        <w:rPr>
          <w:b/>
          <w:color w:val="1E3A8A"/>
          <w:sz w:val="28"/>
        </w:rPr>
        <w:t>3. Referências a outros templates NIS2</w:t>
      </w:r>
    </w:p>
    <w:p>
      <w:r>
        <w:rPr>
          <w:color w:val="374151"/>
          <w:sz w:val="22"/>
        </w:rPr>
        <w:t>Este template integra-se com o seguinte conjunto de políticas e procedimentos NIS2 disponibilizados em nis2-portugal.com/pages/templates.html:</w:t>
      </w:r>
    </w:p>
    <w:p>
      <w:r>
        <w:rPr>
          <w:color w:val="374151"/>
          <w:sz w:val="22"/>
        </w:rPr>
        <w:t xml:space="preserve">• </w:t>
      </w:r>
      <w:r>
        <w:rPr>
          <w:color w:val="374151"/>
          <w:sz w:val="22"/>
        </w:rPr>
        <w:t>Política de segurança da informação — documento de cúpula</w:t>
      </w:r>
    </w:p>
    <w:p>
      <w:r>
        <w:rPr>
          <w:color w:val="374151"/>
          <w:sz w:val="22"/>
        </w:rPr>
        <w:t xml:space="preserve">• </w:t>
      </w:r>
      <w:r>
        <w:rPr>
          <w:color w:val="374151"/>
          <w:sz w:val="22"/>
        </w:rPr>
        <w:t>Plano de resposta a incidentes — procedimento operacional</w:t>
      </w:r>
    </w:p>
    <w:p>
      <w:r>
        <w:rPr>
          <w:color w:val="374151"/>
          <w:sz w:val="22"/>
        </w:rPr>
        <w:t xml:space="preserve">• </w:t>
      </w:r>
      <w:r>
        <w:rPr>
          <w:color w:val="374151"/>
          <w:sz w:val="22"/>
        </w:rPr>
        <w:t>Matriz de riscos NIS2 — avaliação de riscos Art. 21.º</w:t>
      </w:r>
    </w:p>
    <w:p>
      <w:r>
        <w:rPr>
          <w:color w:val="374151"/>
          <w:sz w:val="22"/>
        </w:rPr>
        <w:t xml:space="preserve">• </w:t>
      </w:r>
      <w:r>
        <w:rPr>
          <w:color w:val="374151"/>
          <w:sz w:val="22"/>
        </w:rPr>
        <w:t>Plano de continuidade de negócio — BIA + DRP</w:t>
      </w:r>
    </w:p>
    <w:p>
      <w:r>
        <w:rPr>
          <w:color w:val="374151"/>
          <w:sz w:val="22"/>
        </w:rPr>
        <w:t xml:space="preserve">• </w:t>
      </w:r>
      <w:r>
        <w:rPr>
          <w:color w:val="374151"/>
          <w:sz w:val="22"/>
        </w:rPr>
        <w:t>Política de controlo de acessos — gestão IAM/PAM</w:t>
      </w:r>
    </w:p>
    <w:p>
      <w:r>
        <w:rPr>
          <w:color w:val="374151"/>
          <w:sz w:val="22"/>
        </w:rPr>
        <w:t xml:space="preserve">• </w:t>
      </w:r>
      <w:r>
        <w:rPr>
          <w:color w:val="374151"/>
          <w:sz w:val="22"/>
        </w:rPr>
        <w:t>Checklist de conformidade Art. 21.º — autoavaliação</w:t>
      </w:r>
    </w:p>
    <w:p>
      <w:r>
        <w:rPr>
          <w:color w:val="374151"/>
          <w:sz w:val="22"/>
        </w:rPr>
        <w:t xml:space="preserve">• </w:t>
      </w:r>
      <w:r>
        <w:rPr>
          <w:color w:val="374151"/>
          <w:sz w:val="22"/>
        </w:rPr>
        <w:t>Questionário de due diligence de fornecedores — cadeia de abastecimento</w:t>
      </w:r>
    </w:p>
    <w:p>
      <w:r>
        <w:rPr>
          <w:color w:val="374151"/>
          <w:sz w:val="22"/>
        </w:rPr>
        <w:t xml:space="preserve">• </w:t>
      </w:r>
      <w:r>
        <w:rPr>
          <w:color w:val="374151"/>
          <w:sz w:val="22"/>
        </w:rPr>
        <w:t>Programa de formação e sensibilização — Art. 20.º DL 125/2025</w:t>
      </w:r>
    </w:p>
    <w:p>
      <w:r>
        <w:rPr>
          <w:i/>
          <w:color w:val="374151"/>
          <w:sz w:val="20"/>
        </w:rPr>
        <w:t>Todos os templates referidos estão disponíveis para download gratuito em https://nis2-portugal.com/pages/templates.html. A utilização conjunta garante cobertura completa dos requisitos do Art. 21.º do DL 125/2025.</w:t>
      </w:r>
    </w:p>
    <w:sectPr>
      <w:headerReference w:type="default" r:id="rId6"/>
      <w:footerReference w:type="default" r:id="rId7"/>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3a8a" w:sz="6" w:space="1"/>
      </w:pBdr>
      <w:jc w:val="center"/>
    </w:pPr>
    <w:r>
      <w:rPr>
        <w:color w:val="9ca3af"/>
        <w:sz w:val="18"/>
        <w:szCs w:val="18"/>
        <w:rFonts w:ascii="Calibri" w:cs="Calibri" w:eastAsia="Calibri" w:hAnsi="Calibri"/>
      </w:rPr>
      <w:t xml:space="preserve">Confidencial  |  Página </w:t>
    </w:r>
    <w:r>
      <w:rPr>
        <w:color w:val="9ca3af"/>
        <w:sz w:val="18"/>
        <w:szCs w:val="18"/>
        <w:rFonts w:ascii="Calibri" w:cs="Calibri" w:eastAsia="Calibri" w:hAnsi="Calibri"/>
      </w:rPr>
      <w:fldChar w:fldCharType="begin"/>
      <w:instrText xml:space="preserve">PAGE</w:instrText>
      <w:fldChar w:fldCharType="separate"/>
      <w:fldChar w:fldCharType="end"/>
    </w:r>
    <w:r>
      <w:rPr>
        <w:color w:val="9ca3af"/>
        <w:sz w:val="18"/>
        <w:szCs w:val="18"/>
        <w:rFonts w:ascii="Calibri" w:cs="Calibri" w:eastAsia="Calibri" w:hAnsi="Calibri"/>
      </w:rPr>
      <w:t xml:space="preserve"> de </w:t>
    </w:r>
    <w:r>
      <w:rPr>
        <w:color w:val="9ca3af"/>
        <w:sz w:val="18"/>
        <w:szCs w:val="18"/>
        <w:rFonts w:ascii="Calibri" w:cs="Calibri" w:eastAsia="Calibri" w:hAnsi="Calibri"/>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3a8a" w:sz="6" w:space="1"/>
      </w:pBdr>
      <w:jc w:val="right"/>
    </w:pPr>
    <w:r>
      <w:rPr>
        <w:color w:val="9ca3af"/>
        <w:sz w:val="18"/>
        <w:szCs w:val="18"/>
        <w:rFonts w:ascii="Calibri" w:cs="Calibri" w:eastAsia="Calibri" w:hAnsi="Calibri"/>
      </w:rPr>
      <w:t xml:space="preserve">Requerimento de dispensa de coima — Art. 65.º — DL 125/2025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NIS2 Portugal — nis2-portugal.com</dc:creator>
  <cp:lastModifiedBy>NIS2 Portugal</cp:lastModifiedBy>
  <cp:revision>1</cp:revision>
  <dcterms:created xsi:type="dcterms:W3CDTF">2026-09-14T21:29:07.587Z</dcterms:created>
  <dcterms:modified xsi:type="dcterms:W3CDTF">2026-09-14T21:29:07.587Z</dcterms:modified>
  <dc:title>Requerimento dispensa coima</dc:title>
  <dc:subject>Template NIS2 — conformidade DL 125/2025</dc:subject>
  <cp:keywords>NIS2, DL 125/2025, cibersegurança, conformidade, Portugal</cp:keywords>
  <cp:category>Template NIS2</cp:category>
  <dc:description>Template profissional gratuito disponibilizado em nis2-portugal.com</dc:description>
</cp:coreProperties>
</file>

<file path=docProps/custom.xml><?xml version="1.0" encoding="utf-8"?>
<Properties xmlns="http://schemas.openxmlformats.org/officeDocument/2006/custom-properties" xmlns:vt="http://schemas.openxmlformats.org/officeDocument/2006/docPropsVTypes"/>
</file>