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</w:p>
    <w:p>
      <w:pPr>
        <w:jc w:val="center"/>
      </w:pPr>
      <w:r>
        <w:rPr>
          <w:color w:val="9CA3AF"/>
          <w:sz w:val="22"/>
        </w:rPr>
        <w:t>[Nome da organização]</w:t>
      </w:r>
    </w:p>
    <w:p>
      <w:pPr>
        <w:jc w:val="center"/>
      </w:pPr>
      <w:r>
        <w:rPr>
          <w:b/>
          <w:color w:val="1E3A8A"/>
          <w:sz w:val="28"/>
        </w:rPr>
        <w:t>Programa de simulação de phishing NIS2</w:t>
      </w:r>
    </w:p>
    <w:p>
      <w:pPr>
        <w:jc w:val="center"/>
      </w:pPr>
      <w:r>
        <w:rPr>
          <w:color w:val="374151"/>
          <w:sz w:val="22"/>
        </w:rPr>
        <w:t>Conformidade com o Decreto-Lei n.º 125/2025 (NIS2)</w:t>
      </w:r>
    </w:p>
    <w:p>
      <w:pPr>
        <w:jc w:val="center"/>
      </w:pPr>
      <w:r>
        <w:rPr>
          <w:b/>
          <w:color w:val="374151"/>
          <w:sz w:val="22"/>
        </w:rPr>
        <w:t xml:space="preserve">Versão: </w:t>
      </w:r>
      <w:r>
        <w:rPr>
          <w:color w:val="374151"/>
          <w:sz w:val="22"/>
        </w:rPr>
        <w:t>1.0</w:t>
      </w:r>
    </w:p>
    <w:p>
      <w:pPr>
        <w:jc w:val="center"/>
      </w:pPr>
      <w:r>
        <w:rPr>
          <w:b/>
          <w:color w:val="374151"/>
          <w:sz w:val="22"/>
        </w:rPr>
        <w:t xml:space="preserve">Data: </w:t>
      </w:r>
      <w:r>
        <w:rPr>
          <w:color w:val="374151"/>
          <w:sz w:val="22"/>
        </w:rPr>
        <w:t>09/04/2026</w:t>
      </w:r>
    </w:p>
    <w:p>
      <w:pPr>
        <w:jc w:val="center"/>
      </w:pPr>
      <w:r>
        <w:rPr>
          <w:b/>
          <w:color w:val="374151"/>
          <w:sz w:val="22"/>
        </w:rPr>
        <w:t xml:space="preserve">Classificação: </w:t>
      </w:r>
      <w:r>
        <w:rPr>
          <w:b/>
          <w:color w:val="DC2626"/>
          <w:sz w:val="22"/>
        </w:rPr>
        <w:t>Confidencial</w:t>
      </w:r>
    </w:p>
    <w:p/>
    <w:p>
      <w:pPr>
        <w:pStyle w:val="Heading1"/>
      </w:pPr>
      <w:r>
        <w:rPr>
          <w:b/>
          <w:color w:val="1E3A8A"/>
          <w:sz w:val="32"/>
        </w:rPr>
        <w:t>1. Objetivo</w:t>
      </w:r>
    </w:p>
    <w:p>
      <w:r>
        <w:rPr>
          <w:color w:val="374151"/>
          <w:sz w:val="22"/>
        </w:rPr>
        <w:t>O presente programa define a metodologia, os cenários, as métricas e os procedimentos para a realização de simulações de phishing na organização, em conformidade com o Art. 27.º, alínea g) do Decreto-Lei n.º 125/2025 (NIS2), que exige a implementação de programas de ciber-higiene e formação em cibersegurança para todos os utilizadores.</w:t>
      </w:r>
    </w:p>
    <w:p>
      <w:r>
        <w:rPr>
          <w:color w:val="374151"/>
          <w:sz w:val="22"/>
        </w:rPr>
        <w:t>O programa de simulação de phishing tem como objetivos: (1) medir a suscetibilidade dos colaboradores a ataques de engenharia social; (2) identificar grupos de risco que necessitem de formação adicional; (3) monitorizar a evolução da maturidade humana em cibersegurança ao longo do tempo; e (4) cumprir os requisitos de formação contínua estabelecidos pela NIS2.</w:t>
      </w:r>
    </w:p>
    <w:p>
      <w:pPr>
        <w:pStyle w:val="Heading1"/>
      </w:pPr>
      <w:r>
        <w:rPr>
          <w:b/>
          <w:color w:val="1E3A8A"/>
          <w:sz w:val="32"/>
        </w:rPr>
        <w:t>2. Metodologia</w:t>
      </w:r>
    </w:p>
    <w:p>
      <w:r>
        <w:rPr>
          <w:color w:val="374151"/>
          <w:sz w:val="22"/>
        </w:rPr>
        <w:t>O programa segue uma abordagem estruturada e progressiva, com os seguintes elementos:</w:t>
      </w:r>
    </w:p>
    <w:p>
      <w:r>
        <w:rPr>
          <w:color w:val="374151"/>
          <w:sz w:val="22"/>
        </w:rPr>
        <w:t>Frequência e planeamento:</w:t>
      </w:r>
    </w:p>
    <w:p>
      <w:pPr>
        <w:pStyle w:val="ListParagraph"/>
      </w:pPr>
      <w:r>
        <w:rPr>
          <w:color w:val="374151"/>
          <w:sz w:val="22"/>
        </w:rPr>
        <w:t>Frequência mínima: uma simulação por trimestre (4 por ano).</w:t>
      </w:r>
    </w:p>
    <w:p>
      <w:pPr>
        <w:pStyle w:val="ListParagraph"/>
      </w:pPr>
      <w:r>
        <w:rPr>
          <w:color w:val="374151"/>
          <w:sz w:val="22"/>
        </w:rPr>
        <w:t>Planeamento anual aprovado pelo CISO em janeiro de cada ano.</w:t>
      </w:r>
    </w:p>
    <w:p>
      <w:pPr>
        <w:pStyle w:val="ListParagraph"/>
      </w:pPr>
      <w:r>
        <w:rPr>
          <w:color w:val="374151"/>
          <w:sz w:val="22"/>
        </w:rPr>
        <w:t>Simulações não anunciadas: os colaboradores não são informados das datas para garantir resultados realistas.</w:t>
      </w:r>
    </w:p>
    <w:p>
      <w:pPr>
        <w:pStyle w:val="ListParagraph"/>
      </w:pPr>
      <w:r>
        <w:rPr>
          <w:color w:val="374151"/>
          <w:sz w:val="22"/>
        </w:rPr>
        <w:t>Escalada progressiva: as simulações aumentam de dificuldade ao longo do ano (do básico ao avançado).</w:t>
      </w:r>
    </w:p>
    <w:p>
      <w:r>
        <w:rPr>
          <w:color w:val="374151"/>
          <w:sz w:val="22"/>
        </w:rPr>
        <w:t>Segmentação da população-alvo:</w:t>
      </w:r>
    </w:p>
    <w:p>
      <w:pPr>
        <w:pStyle w:val="ListParagraph"/>
      </w:pPr>
      <w:r>
        <w:rPr>
          <w:color w:val="374151"/>
          <w:sz w:val="22"/>
        </w:rPr>
        <w:t>Toda a organização: pelo menos 2 campanhas por ano abrangem todos os colaboradores.</w:t>
      </w:r>
    </w:p>
    <w:p>
      <w:pPr>
        <w:pStyle w:val="ListParagraph"/>
      </w:pPr>
      <w:r>
        <w:rPr>
          <w:color w:val="374151"/>
          <w:sz w:val="22"/>
        </w:rPr>
        <w:t>Grupos de risco: campanhas específicas para departamentos com acesso a dados sensíveis (finanças, RH, direção).</w:t>
      </w:r>
    </w:p>
    <w:p>
      <w:pPr>
        <w:pStyle w:val="ListParagraph"/>
      </w:pPr>
      <w:r>
        <w:rPr>
          <w:color w:val="374151"/>
          <w:sz w:val="22"/>
        </w:rPr>
        <w:t>Novos colaboradores: simulação nos primeiros 30 dias após integração.</w:t>
      </w:r>
    </w:p>
    <w:p>
      <w:r>
        <w:rPr>
          <w:color w:val="374151"/>
          <w:sz w:val="22"/>
        </w:rPr>
        <w:t>Aprovação e ética:</w:t>
      </w:r>
    </w:p>
    <w:p>
      <w:pPr>
        <w:pStyle w:val="ListParagraph"/>
      </w:pPr>
      <w:r>
        <w:rPr>
          <w:color w:val="374151"/>
          <w:sz w:val="22"/>
        </w:rPr>
        <w:t>O programa deve ser aprovado pelo órgão de gestão e comunicado ao DPO para avaliação de impacto RGPD.</w:t>
      </w:r>
    </w:p>
    <w:p>
      <w:pPr>
        <w:pStyle w:val="ListParagraph"/>
      </w:pPr>
      <w:r>
        <w:rPr>
          <w:color w:val="374151"/>
          <w:sz w:val="22"/>
        </w:rPr>
        <w:t>Os resultados são tratados de forma agregada e anónima nos relatórios gerais; dados individuais apenas para formação direcionada.</w:t>
      </w:r>
    </w:p>
    <w:p>
      <w:pPr>
        <w:pStyle w:val="ListParagraph"/>
      </w:pPr>
      <w:r>
        <w:rPr>
          <w:color w:val="374151"/>
          <w:sz w:val="22"/>
        </w:rPr>
        <w:t>Os colaboradores são informados anualmente da existência do programa, mas não das datas das campanhas.</w:t>
      </w:r>
    </w:p>
    <w:p>
      <w:pPr>
        <w:pStyle w:val="Heading1"/>
      </w:pPr>
      <w:r>
        <w:rPr>
          <w:b/>
          <w:color w:val="1E3A8A"/>
          <w:sz w:val="32"/>
        </w:rPr>
        <w:t>3. Cenários tipo</w:t>
      </w:r>
    </w:p>
    <w:p>
      <w:r>
        <w:rPr>
          <w:color w:val="374151"/>
          <w:sz w:val="22"/>
        </w:rPr>
        <w:t>A tabela seguinte descreve os cenários de simulação aprovados, organizados por nível de dificuldade.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881"/>
        <w:gridCol w:w="1881"/>
        <w:gridCol w:w="1881"/>
        <w:gridCol w:w="1881"/>
        <w:gridCol w:w="1881"/>
      </w:tblGrid>
      <w:tr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Cenário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Tipo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Dificuldade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Descrição</w:t>
            </w:r>
          </w:p>
        </w:tc>
        <w:tc>
          <w:tcPr>
            <w:tcW w:type="dxa" w:w="188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Indicadores a testar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CEO fraud (BEC)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Spear phishing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Alta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E-mail simulando o CEO a pedir transferência urgente ou compra de vouchers. Utiliza domínio semelhante ao real.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Clique em link, partilha de dados, conformidade com procedimento de verificação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IT helpdesk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Phishing interno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Média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E-mail do "departamento de TI" a pedir atualização de palavra-passe com link para página falsa.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Clique em link, introdução de credenciais em página falsa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Entrega de encomenda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Phishing genérico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Baixa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E-mail de transportadora (CTT, DHL) com notificação de entrega pendente e link para rastreio malicioso.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Clique em link, download de anexo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Fatura de fornecedor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BEC / fraude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Alta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E-mail de fornecedor conhecido a solicitar alteração de IBAN para pagamento de fatura em aberto.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Resposta ao e-mail, seguimento do pedido sem verificação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Microsoft/Office 365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Credential harvesting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Média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Alerta de segurança da Microsoft a pedir reautenticação com link para página de login falsa.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Clique em link, introdução de credenciais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Partilha de documento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Spear phishing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Média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Notificação de SharePoint/OneDrive de colega a partilhar documento urgente. Redireciona para página de login falsa.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Clique em link, introdução de credenciais</w:t>
            </w:r>
          </w:p>
        </w:tc>
      </w:tr>
      <w:tr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Inquérito de RH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Phishing temático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Baixa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E-mail de RH pedindo preenchimento de inquérito anónimo com link para formulário que recolhe dados.</w:t>
            </w:r>
          </w:p>
        </w:tc>
        <w:tc>
          <w:tcPr>
            <w:tcW w:type="dxa" w:w="1881"/>
          </w:tcPr>
          <w:p>
            <w:r/>
            <w:r>
              <w:rPr>
                <w:color w:val="374151"/>
                <w:sz w:val="22"/>
              </w:rPr>
              <w:t>Clique em link, preenchimento de formulário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4. Métricas de sucesso</w:t>
      </w:r>
    </w:p>
    <w:p>
      <w:r>
        <w:rPr>
          <w:color w:val="374151"/>
          <w:sz w:val="22"/>
        </w:rPr>
        <w:t>O programa é avaliado com base nas seguintes métricas, recolhidas automaticamente pela plataforma de simulação: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Métrica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Fórmula / Definição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Meta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Alerta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Taxa de clique (CTR)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Nº colaboradores que clicaram / total enviado × 100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5%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&gt; 15%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Taxa de submissão de credenciais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Nº que introduziu dados / total que clicou × 100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2%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&gt; 10%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Taxa de reporte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Nº que reportou o phishing à TI / total enviado × 100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&gt; 30%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10%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Tempo médio até primeiro clique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Tempo entre envio e primeiro clique (minutos)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&gt; 30 min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&lt; 5 min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Taxa de abertura do e-mail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Nº que abriu o e-mail / total enviado × 100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Informativo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N.A.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Evolução trimestral CTR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Variação CTR vs. campanha anterior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Redução &gt; 2pp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Aumento</w:t>
            </w:r>
          </w:p>
        </w:tc>
      </w:tr>
    </w:tbl>
    <w:p/>
    <w:p>
      <w:pPr>
        <w:pStyle w:val="Heading1"/>
      </w:pPr>
      <w:r>
        <w:rPr>
          <w:b/>
          <w:color w:val="1E3A8A"/>
          <w:sz w:val="32"/>
        </w:rPr>
        <w:t>5. Formação para quem falha</w:t>
      </w:r>
    </w:p>
    <w:p>
      <w:r>
        <w:rPr>
          <w:color w:val="374151"/>
          <w:sz w:val="22"/>
        </w:rPr>
        <w:t>Colaboradores que clicarem em links ou submeterem credenciais são automaticamente inscritos no seguinte percurso de formação:</w:t>
      </w:r>
    </w:p>
    <w:p>
      <w:pPr>
        <w:pStyle w:val="ListParagraph"/>
      </w:pPr>
      <w:r>
        <w:rPr>
          <w:color w:val="374151"/>
          <w:sz w:val="22"/>
        </w:rPr>
        <w:t>Imediato (após clique): página de consciencialização — o colaborador é redirecionado para uma página que explica o que aconteceu e fornece dicas para identificar phishing. Tempo: 3 a 5 minutos.</w:t>
      </w:r>
    </w:p>
    <w:p>
      <w:pPr>
        <w:pStyle w:val="ListParagraph"/>
      </w:pPr>
      <w:r>
        <w:rPr>
          <w:color w:val="374151"/>
          <w:sz w:val="22"/>
        </w:rPr>
        <w:t>Módulo de formação obrigatório (até 7 dias): módulo e-learning de 30 minutos sobre identificação de phishing, engenharia social e procedimentos de reporte. Conclusão obrigatória com teste final (aprovação mínima: 80%).</w:t>
      </w:r>
    </w:p>
    <w:p>
      <w:pPr>
        <w:pStyle w:val="ListParagraph"/>
      </w:pPr>
      <w:r>
        <w:rPr>
          <w:color w:val="374151"/>
          <w:sz w:val="22"/>
        </w:rPr>
        <w:t>Simulação de controlo (30 a 60 dias após falha): nova simulação direcionada ao colaborador para verificar a aprendizagem.</w:t>
      </w:r>
    </w:p>
    <w:p>
      <w:pPr>
        <w:pStyle w:val="ListParagraph"/>
      </w:pPr>
      <w:r>
        <w:rPr>
          <w:color w:val="374151"/>
          <w:sz w:val="22"/>
        </w:rPr>
        <w:t>Formação presencial (reincidência): colaboradores que falhem em 3 ou mais campanhas consecutivas são convocados para formação presencial individual com o responsável de segurança.</w:t>
      </w:r>
    </w:p>
    <w:p>
      <w:pPr>
        <w:pStyle w:val="ListParagraph"/>
      </w:pPr>
      <w:r>
        <w:rPr>
          <w:color w:val="374151"/>
          <w:sz w:val="22"/>
        </w:rPr>
        <w:t>Registo: todas as falhas e conclusões de formação são registadas para efeitos de conformidade NIS2 (Art. 27.º alínea g).</w:t>
      </w:r>
    </w:p>
    <w:p>
      <w:pPr>
        <w:pStyle w:val="Heading1"/>
      </w:pPr>
      <w:r>
        <w:rPr>
          <w:b/>
          <w:color w:val="1E3A8A"/>
          <w:sz w:val="32"/>
        </w:rPr>
        <w:t>6. Relatório tipo</w:t>
      </w:r>
    </w:p>
    <w:p>
      <w:r>
        <w:rPr>
          <w:color w:val="374151"/>
          <w:sz w:val="22"/>
        </w:rPr>
        <w:t>Cada campanha de simulação deve gerar um relatório com a seguinte estrutura:</w:t>
      </w:r>
    </w:p>
    <w:p>
      <w:pPr>
        <w:pStyle w:val="ListParagraph"/>
      </w:pPr>
      <w:r>
        <w:rPr>
          <w:color w:val="374151"/>
          <w:sz w:val="22"/>
        </w:rPr>
        <w:t>Sumário executivo: data da campanha, cenário utilizado, população-alvo, principais métricas e conclusões.</w:t>
      </w:r>
    </w:p>
    <w:p>
      <w:pPr>
        <w:pStyle w:val="ListParagraph"/>
      </w:pPr>
      <w:r>
        <w:rPr>
          <w:color w:val="374151"/>
          <w:sz w:val="22"/>
        </w:rPr>
        <w:t>Resultados quantitativos: CTR, taxa de submissão, taxa de reporte, evolução vs. campanha anterior (com gráficos).</w:t>
      </w:r>
    </w:p>
    <w:p>
      <w:pPr>
        <w:pStyle w:val="ListParagraph"/>
      </w:pPr>
      <w:r>
        <w:rPr>
          <w:color w:val="374151"/>
          <w:sz w:val="22"/>
        </w:rPr>
        <w:t>Análise por departamento/função: identificação de grupos de risco para ações de formação direcionadas.</w:t>
      </w:r>
    </w:p>
    <w:p>
      <w:pPr>
        <w:pStyle w:val="ListParagraph"/>
      </w:pPr>
      <w:r>
        <w:rPr>
          <w:color w:val="374151"/>
          <w:sz w:val="22"/>
        </w:rPr>
        <w:t>Ações de formação desencadeadas: número de colaboradores inscritos, taxas de conclusão, resultados dos testes.</w:t>
      </w:r>
    </w:p>
    <w:p>
      <w:pPr>
        <w:pStyle w:val="ListParagraph"/>
      </w:pPr>
      <w:r>
        <w:rPr>
          <w:color w:val="374151"/>
          <w:sz w:val="22"/>
        </w:rPr>
        <w:t>Recomendações: ajustes ao programa, necessidades de formação identificadas, propostas para a próxima campanha.</w:t>
      </w:r>
    </w:p>
    <w:p>
      <w:pPr>
        <w:pStyle w:val="ListParagraph"/>
      </w:pPr>
      <w:r>
        <w:rPr>
          <w:color w:val="374151"/>
          <w:sz w:val="22"/>
        </w:rPr>
        <w:t>Anexos: capturas de ecrã do e-mail de simulação e da página de consciencialização utilizados.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351"/>
        <w:gridCol w:w="2351"/>
        <w:gridCol w:w="2351"/>
        <w:gridCol w:w="2351"/>
      </w:tblGrid>
      <w:tr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Função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Nome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Assinatura</w:t>
            </w:r>
          </w:p>
        </w:tc>
        <w:tc>
          <w:tcPr>
            <w:tcW w:type="dxa" w:w="2351"/>
            <w:shd w:color="1e3a8a" w:val="solid"/>
            <w:vAlign w:val="center"/>
          </w:tcPr>
          <w:p>
            <w:pPr>
              <w:jc w:val="center"/>
            </w:pPr>
            <w:r/>
            <w:r>
              <w:rPr>
                <w:b/>
                <w:color w:val="FFFFFF"/>
                <w:sz w:val="22"/>
              </w:rPr>
              <w:t>Data</w:t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CISO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Responsável de RH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  <w:tr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DPO / EPD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  <w:t>[Nome]</w:t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  <w:tc>
          <w:tcPr>
            <w:tcW w:type="dxa" w:w="2351"/>
          </w:tcPr>
          <w:p>
            <w:r/>
            <w:r>
              <w:rPr>
                <w:color w:val="374151"/>
                <w:sz w:val="22"/>
              </w:rPr>
            </w:r>
          </w:p>
        </w:tc>
      </w:tr>
    </w:tbl>
    <w:p/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